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61789" w14:textId="77777777" w:rsidR="008D5D0F" w:rsidRPr="001316B0" w:rsidRDefault="0074286A" w:rsidP="002904EE">
      <w:pPr>
        <w:spacing w:line="360" w:lineRule="auto"/>
        <w:jc w:val="both"/>
        <w:rPr>
          <w:rFonts w:ascii="Arial" w:hAnsi="Arial" w:cs="Arial"/>
          <w:b/>
          <w:lang w:val="en-GB" w:eastAsia="pt-BR"/>
        </w:rPr>
      </w:pPr>
      <w:r w:rsidRPr="001316B0">
        <w:rPr>
          <w:rFonts w:ascii="Arial" w:hAnsi="Arial" w:cs="Arial"/>
          <w:b/>
          <w:lang w:val="en-GB" w:eastAsia="pt-BR"/>
        </w:rPr>
        <w:t>Alternative Energy in Brazil</w:t>
      </w:r>
      <w:r w:rsidR="00D75849" w:rsidRPr="001316B0">
        <w:rPr>
          <w:rFonts w:ascii="Arial" w:hAnsi="Arial" w:cs="Arial"/>
          <w:b/>
          <w:lang w:val="en-GB" w:eastAsia="pt-BR"/>
        </w:rPr>
        <w:t xml:space="preserve">: </w:t>
      </w:r>
      <w:r w:rsidRPr="001316B0">
        <w:rPr>
          <w:rFonts w:ascii="Arial" w:hAnsi="Arial" w:cs="Arial"/>
          <w:b/>
          <w:lang w:val="en-GB" w:eastAsia="pt-BR"/>
        </w:rPr>
        <w:t>a favourable heritage</w:t>
      </w:r>
      <w:r w:rsidR="008D5D0F" w:rsidRPr="001316B0">
        <w:rPr>
          <w:rFonts w:ascii="Arial" w:hAnsi="Arial" w:cs="Arial"/>
          <w:b/>
          <w:lang w:val="en-GB" w:eastAsia="pt-BR"/>
        </w:rPr>
        <w:t xml:space="preserve"> </w:t>
      </w:r>
    </w:p>
    <w:p w14:paraId="5C21E631" w14:textId="77777777" w:rsidR="008D5D0F" w:rsidRPr="001316B0" w:rsidRDefault="008D5D0F" w:rsidP="002904EE">
      <w:pPr>
        <w:spacing w:line="360" w:lineRule="auto"/>
        <w:jc w:val="both"/>
        <w:rPr>
          <w:rFonts w:ascii="Arial" w:hAnsi="Arial" w:cs="Arial"/>
          <w:lang w:val="en-GB" w:eastAsia="pt-BR"/>
        </w:rPr>
      </w:pPr>
    </w:p>
    <w:p w14:paraId="1B88D6B8" w14:textId="77777777" w:rsidR="008E5994" w:rsidRPr="001316B0" w:rsidRDefault="003C5705" w:rsidP="002904EE">
      <w:pPr>
        <w:spacing w:line="360" w:lineRule="auto"/>
        <w:jc w:val="both"/>
        <w:rPr>
          <w:rFonts w:ascii="Arial" w:hAnsi="Arial" w:cs="Arial"/>
          <w:lang w:val="en-GB" w:eastAsia="pt-BR"/>
        </w:rPr>
      </w:pPr>
      <w:r w:rsidRPr="001316B0">
        <w:rPr>
          <w:rFonts w:ascii="Arial" w:hAnsi="Arial" w:cs="Arial"/>
          <w:lang w:val="en-GB" w:eastAsia="pt-BR"/>
        </w:rPr>
        <w:t xml:space="preserve">Brazil is exceptionally endowed with natural resources and </w:t>
      </w:r>
      <w:r w:rsidR="00FA2354" w:rsidRPr="001316B0">
        <w:rPr>
          <w:rFonts w:ascii="Arial" w:hAnsi="Arial" w:cs="Arial"/>
          <w:lang w:val="en-GB" w:eastAsia="pt-BR"/>
        </w:rPr>
        <w:t xml:space="preserve">therefore disposes of </w:t>
      </w:r>
      <w:r w:rsidRPr="001316B0">
        <w:rPr>
          <w:rFonts w:ascii="Arial" w:hAnsi="Arial" w:cs="Arial"/>
          <w:lang w:val="en-GB" w:eastAsia="pt-BR"/>
        </w:rPr>
        <w:t>a wide range of energy resources.</w:t>
      </w:r>
    </w:p>
    <w:p w14:paraId="6BA2206A" w14:textId="77777777" w:rsidR="008D5D0F" w:rsidRPr="001316B0" w:rsidRDefault="00FA2354" w:rsidP="002904EE">
      <w:pPr>
        <w:spacing w:line="360" w:lineRule="auto"/>
        <w:jc w:val="both"/>
        <w:rPr>
          <w:rFonts w:ascii="Arial" w:hAnsi="Arial" w:cs="Arial"/>
          <w:lang w:val="en-GB" w:eastAsia="pt-BR"/>
        </w:rPr>
      </w:pPr>
      <w:r w:rsidRPr="001316B0">
        <w:rPr>
          <w:rFonts w:ascii="Arial" w:hAnsi="Arial" w:cs="Arial"/>
          <w:lang w:val="en-GB" w:eastAsia="pt-BR"/>
        </w:rPr>
        <w:t xml:space="preserve">The energy balance provides an overall and combined view of national energy use and consumed quantities of different energy forms by means of equivalents in </w:t>
      </w:r>
      <w:r w:rsidR="00AE6CCA" w:rsidRPr="001316B0">
        <w:rPr>
          <w:rFonts w:ascii="Arial" w:hAnsi="Arial" w:cs="Arial"/>
          <w:lang w:val="en-GB" w:eastAsia="pt-BR"/>
        </w:rPr>
        <w:t>ton</w:t>
      </w:r>
      <w:r w:rsidR="009906E2" w:rsidRPr="001316B0">
        <w:rPr>
          <w:rFonts w:ascii="Arial" w:hAnsi="Arial" w:cs="Arial"/>
          <w:lang w:val="en-GB" w:eastAsia="pt-BR"/>
        </w:rPr>
        <w:t>n</w:t>
      </w:r>
      <w:r w:rsidR="00AE6CCA" w:rsidRPr="001316B0">
        <w:rPr>
          <w:rFonts w:ascii="Arial" w:hAnsi="Arial" w:cs="Arial"/>
          <w:lang w:val="en-GB" w:eastAsia="pt-BR"/>
        </w:rPr>
        <w:t>es</w:t>
      </w:r>
      <w:r w:rsidRPr="001316B0">
        <w:rPr>
          <w:rFonts w:ascii="Arial" w:hAnsi="Arial" w:cs="Arial"/>
          <w:lang w:val="en-GB" w:eastAsia="pt-BR"/>
        </w:rPr>
        <w:t xml:space="preserve"> of </w:t>
      </w:r>
      <w:r w:rsidR="00A14E35" w:rsidRPr="001316B0">
        <w:rPr>
          <w:rFonts w:ascii="Arial" w:hAnsi="Arial" w:cs="Arial"/>
          <w:lang w:val="en-GB" w:eastAsia="pt-BR"/>
        </w:rPr>
        <w:t>petroleum</w:t>
      </w:r>
      <w:r w:rsidRPr="001316B0">
        <w:rPr>
          <w:rFonts w:ascii="Arial" w:hAnsi="Arial" w:cs="Arial"/>
          <w:lang w:val="en-GB" w:eastAsia="pt-BR"/>
        </w:rPr>
        <w:t xml:space="preserve">, </w:t>
      </w:r>
      <w:r w:rsidR="005374A6" w:rsidRPr="001316B0">
        <w:rPr>
          <w:rFonts w:ascii="Arial" w:hAnsi="Arial" w:cs="Arial"/>
          <w:lang w:val="en-GB" w:eastAsia="pt-BR"/>
        </w:rPr>
        <w:t>based on the highest calorific value of each source</w:t>
      </w:r>
      <w:r w:rsidR="004D1032" w:rsidRPr="001316B0">
        <w:rPr>
          <w:rFonts w:ascii="Arial" w:hAnsi="Arial" w:cs="Arial"/>
          <w:lang w:val="en-GB" w:eastAsia="pt-BR"/>
        </w:rPr>
        <w:t xml:space="preserve">. </w:t>
      </w:r>
      <w:r w:rsidR="005374A6" w:rsidRPr="001316B0">
        <w:rPr>
          <w:rFonts w:ascii="Arial" w:hAnsi="Arial" w:cs="Arial"/>
          <w:lang w:val="en-GB" w:eastAsia="pt-BR"/>
        </w:rPr>
        <w:t xml:space="preserve">Charts 1 and 2 show the recent evolution of </w:t>
      </w:r>
      <w:r w:rsidR="009906E2" w:rsidRPr="001316B0">
        <w:rPr>
          <w:rFonts w:ascii="Arial" w:hAnsi="Arial" w:cs="Arial"/>
          <w:lang w:val="en-GB" w:eastAsia="pt-BR"/>
        </w:rPr>
        <w:t xml:space="preserve">the </w:t>
      </w:r>
      <w:r w:rsidR="005374A6" w:rsidRPr="001316B0">
        <w:rPr>
          <w:rFonts w:ascii="Arial" w:hAnsi="Arial" w:cs="Arial"/>
          <w:lang w:val="en-GB" w:eastAsia="pt-BR"/>
        </w:rPr>
        <w:t>gross domestic energy supply structure (global energy requirements for domestic consumption of primary energy: production plus imports minus exports) and its relation to population and GDP.</w:t>
      </w:r>
    </w:p>
    <w:p w14:paraId="45C27EF7" w14:textId="77777777" w:rsidR="008D5D0F" w:rsidRPr="001316B0" w:rsidRDefault="008D5D0F" w:rsidP="002904EE">
      <w:pPr>
        <w:spacing w:line="360" w:lineRule="auto"/>
        <w:jc w:val="both"/>
        <w:rPr>
          <w:rFonts w:ascii="Arial" w:hAnsi="Arial" w:cs="Arial"/>
          <w:lang w:val="en-GB" w:eastAsia="pt-BR"/>
        </w:rPr>
      </w:pPr>
    </w:p>
    <w:p w14:paraId="518D9854" w14:textId="77777777" w:rsidR="00E60A94" w:rsidRPr="001316B0" w:rsidRDefault="00A333D1"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b/>
          <w:lang w:val="en-GB" w:eastAsia="pt-BR"/>
        </w:rPr>
      </w:pPr>
      <w:r w:rsidRPr="001316B0">
        <w:rPr>
          <w:rFonts w:ascii="Arial" w:hAnsi="Arial" w:cs="Arial"/>
          <w:b/>
          <w:lang w:val="en-GB" w:eastAsia="pt-BR"/>
        </w:rPr>
        <w:t>Chart 1</w:t>
      </w:r>
    </w:p>
    <w:p w14:paraId="4019BD1C" w14:textId="77777777" w:rsidR="008D5D0F" w:rsidRPr="001316B0" w:rsidRDefault="00A333D1"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b/>
          <w:lang w:val="en-GB" w:eastAsia="pt-BR"/>
        </w:rPr>
      </w:pPr>
      <w:r w:rsidRPr="001316B0">
        <w:rPr>
          <w:rFonts w:ascii="Arial" w:hAnsi="Arial" w:cs="Arial"/>
          <w:b/>
          <w:lang w:val="en-GB" w:eastAsia="pt-BR"/>
        </w:rPr>
        <w:t xml:space="preserve">Recent evolution of gross domestic energy supply and current situation in Brazil </w:t>
      </w:r>
      <w:r w:rsidR="008D5D0F" w:rsidRPr="001316B0">
        <w:rPr>
          <w:rFonts w:ascii="Arial" w:hAnsi="Arial" w:cs="Arial"/>
          <w:b/>
          <w:lang w:val="en-GB" w:eastAsia="pt-BR"/>
        </w:rPr>
        <w:t xml:space="preserve">1990 </w:t>
      </w:r>
      <w:r w:rsidRPr="001316B0">
        <w:rPr>
          <w:rFonts w:ascii="Arial" w:hAnsi="Arial" w:cs="Arial"/>
          <w:b/>
          <w:lang w:val="en-GB" w:eastAsia="pt-BR"/>
        </w:rPr>
        <w:t>to</w:t>
      </w:r>
      <w:r w:rsidR="009908EA" w:rsidRPr="001316B0">
        <w:rPr>
          <w:rFonts w:ascii="Arial" w:hAnsi="Arial" w:cs="Arial"/>
          <w:b/>
          <w:lang w:val="en-GB" w:eastAsia="pt-BR"/>
        </w:rPr>
        <w:t xml:space="preserve"> 2009</w:t>
      </w:r>
    </w:p>
    <w:tbl>
      <w:tblPr>
        <w:tblW w:w="91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51"/>
        <w:gridCol w:w="851"/>
        <w:gridCol w:w="850"/>
        <w:gridCol w:w="992"/>
        <w:gridCol w:w="851"/>
        <w:gridCol w:w="992"/>
        <w:gridCol w:w="851"/>
        <w:gridCol w:w="992"/>
        <w:gridCol w:w="851"/>
      </w:tblGrid>
      <w:tr w:rsidR="00FC3075" w:rsidRPr="001316B0" w14:paraId="6470F207" w14:textId="77777777" w:rsidTr="00E10D16">
        <w:trPr>
          <w:jc w:val="center"/>
        </w:trPr>
        <w:tc>
          <w:tcPr>
            <w:tcW w:w="1951" w:type="dxa"/>
            <w:tcBorders>
              <w:top w:val="single" w:sz="12" w:space="0" w:color="auto"/>
              <w:left w:val="single" w:sz="12" w:space="0" w:color="auto"/>
              <w:bottom w:val="nil"/>
              <w:right w:val="single" w:sz="6" w:space="0" w:color="auto"/>
            </w:tcBorders>
          </w:tcPr>
          <w:p w14:paraId="3678B8E8" w14:textId="77777777" w:rsidR="008D5D0F" w:rsidRPr="001316B0" w:rsidRDefault="00A333D1" w:rsidP="00A333D1">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 xml:space="preserve">Energy source </w:t>
            </w:r>
          </w:p>
        </w:tc>
        <w:tc>
          <w:tcPr>
            <w:tcW w:w="851" w:type="dxa"/>
            <w:tcBorders>
              <w:top w:val="single" w:sz="12" w:space="0" w:color="auto"/>
              <w:left w:val="single" w:sz="6" w:space="0" w:color="auto"/>
              <w:bottom w:val="nil"/>
              <w:right w:val="single" w:sz="6" w:space="0" w:color="auto"/>
            </w:tcBorders>
          </w:tcPr>
          <w:p w14:paraId="505A7F09"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1990</w:t>
            </w:r>
          </w:p>
        </w:tc>
        <w:tc>
          <w:tcPr>
            <w:tcW w:w="850" w:type="dxa"/>
            <w:tcBorders>
              <w:top w:val="single" w:sz="12" w:space="0" w:color="auto"/>
              <w:left w:val="single" w:sz="6" w:space="0" w:color="auto"/>
              <w:bottom w:val="nil"/>
              <w:right w:val="single" w:sz="6" w:space="0" w:color="auto"/>
            </w:tcBorders>
          </w:tcPr>
          <w:p w14:paraId="3AC8658B"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1990</w:t>
            </w:r>
          </w:p>
        </w:tc>
        <w:tc>
          <w:tcPr>
            <w:tcW w:w="992" w:type="dxa"/>
            <w:tcBorders>
              <w:top w:val="single" w:sz="12" w:space="0" w:color="auto"/>
              <w:left w:val="single" w:sz="6" w:space="0" w:color="auto"/>
              <w:bottom w:val="nil"/>
              <w:right w:val="single" w:sz="6" w:space="0" w:color="auto"/>
            </w:tcBorders>
          </w:tcPr>
          <w:p w14:paraId="34EC6734"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2000</w:t>
            </w:r>
          </w:p>
        </w:tc>
        <w:tc>
          <w:tcPr>
            <w:tcW w:w="851" w:type="dxa"/>
            <w:tcBorders>
              <w:top w:val="single" w:sz="12" w:space="0" w:color="auto"/>
              <w:left w:val="single" w:sz="6" w:space="0" w:color="auto"/>
              <w:bottom w:val="nil"/>
              <w:right w:val="single" w:sz="6" w:space="0" w:color="auto"/>
            </w:tcBorders>
          </w:tcPr>
          <w:p w14:paraId="6C400A55"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2000</w:t>
            </w:r>
          </w:p>
        </w:tc>
        <w:tc>
          <w:tcPr>
            <w:tcW w:w="992" w:type="dxa"/>
            <w:tcBorders>
              <w:top w:val="single" w:sz="12" w:space="0" w:color="auto"/>
              <w:left w:val="single" w:sz="6" w:space="0" w:color="auto"/>
              <w:bottom w:val="nil"/>
              <w:right w:val="single" w:sz="6" w:space="0" w:color="auto"/>
            </w:tcBorders>
          </w:tcPr>
          <w:p w14:paraId="6FD953EA"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200</w:t>
            </w:r>
            <w:r w:rsidR="009908EA" w:rsidRPr="001316B0">
              <w:rPr>
                <w:rFonts w:ascii="Arial" w:hAnsi="Arial" w:cs="Arial"/>
                <w:lang w:val="en-GB" w:eastAsia="pt-BR"/>
              </w:rPr>
              <w:t>5</w:t>
            </w:r>
          </w:p>
        </w:tc>
        <w:tc>
          <w:tcPr>
            <w:tcW w:w="851" w:type="dxa"/>
            <w:tcBorders>
              <w:top w:val="single" w:sz="12" w:space="0" w:color="auto"/>
              <w:left w:val="single" w:sz="6" w:space="0" w:color="auto"/>
              <w:bottom w:val="nil"/>
              <w:right w:val="single" w:sz="6" w:space="0" w:color="auto"/>
            </w:tcBorders>
          </w:tcPr>
          <w:p w14:paraId="7F752DB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200</w:t>
            </w:r>
            <w:r w:rsidR="009908EA" w:rsidRPr="001316B0">
              <w:rPr>
                <w:rFonts w:ascii="Arial" w:hAnsi="Arial" w:cs="Arial"/>
                <w:lang w:val="en-GB" w:eastAsia="pt-BR"/>
              </w:rPr>
              <w:t>5</w:t>
            </w:r>
          </w:p>
        </w:tc>
        <w:tc>
          <w:tcPr>
            <w:tcW w:w="992" w:type="dxa"/>
            <w:tcBorders>
              <w:top w:val="single" w:sz="12" w:space="0" w:color="auto"/>
              <w:left w:val="single" w:sz="6" w:space="0" w:color="auto"/>
              <w:bottom w:val="nil"/>
              <w:right w:val="single" w:sz="6" w:space="0" w:color="auto"/>
            </w:tcBorders>
          </w:tcPr>
          <w:p w14:paraId="4D67D37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200</w:t>
            </w:r>
            <w:r w:rsidR="009908EA" w:rsidRPr="001316B0">
              <w:rPr>
                <w:rFonts w:ascii="Arial" w:hAnsi="Arial" w:cs="Arial"/>
                <w:lang w:val="en-GB" w:eastAsia="pt-BR"/>
              </w:rPr>
              <w:t>9</w:t>
            </w:r>
          </w:p>
        </w:tc>
        <w:tc>
          <w:tcPr>
            <w:tcW w:w="851" w:type="dxa"/>
            <w:tcBorders>
              <w:top w:val="single" w:sz="12" w:space="0" w:color="auto"/>
              <w:left w:val="single" w:sz="6" w:space="0" w:color="auto"/>
              <w:bottom w:val="nil"/>
              <w:right w:val="single" w:sz="12" w:space="0" w:color="auto"/>
            </w:tcBorders>
          </w:tcPr>
          <w:p w14:paraId="2328848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200</w:t>
            </w:r>
            <w:r w:rsidR="009908EA" w:rsidRPr="001316B0">
              <w:rPr>
                <w:rFonts w:ascii="Arial" w:hAnsi="Arial" w:cs="Arial"/>
                <w:lang w:val="en-GB" w:eastAsia="pt-BR"/>
              </w:rPr>
              <w:t>9</w:t>
            </w:r>
          </w:p>
        </w:tc>
      </w:tr>
      <w:tr w:rsidR="00FC3075" w:rsidRPr="001316B0" w14:paraId="01124208" w14:textId="77777777" w:rsidTr="00E10D16">
        <w:trPr>
          <w:jc w:val="center"/>
        </w:trPr>
        <w:tc>
          <w:tcPr>
            <w:tcW w:w="1951" w:type="dxa"/>
            <w:tcBorders>
              <w:top w:val="nil"/>
              <w:left w:val="single" w:sz="12" w:space="0" w:color="auto"/>
              <w:bottom w:val="single" w:sz="6" w:space="0" w:color="auto"/>
              <w:right w:val="single" w:sz="6" w:space="0" w:color="auto"/>
            </w:tcBorders>
          </w:tcPr>
          <w:p w14:paraId="5C01DF3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p>
        </w:tc>
        <w:tc>
          <w:tcPr>
            <w:tcW w:w="851" w:type="dxa"/>
            <w:tcBorders>
              <w:top w:val="nil"/>
              <w:left w:val="single" w:sz="6" w:space="0" w:color="auto"/>
              <w:bottom w:val="single" w:sz="6" w:space="0" w:color="auto"/>
              <w:right w:val="single" w:sz="6" w:space="0" w:color="auto"/>
            </w:tcBorders>
          </w:tcPr>
          <w:p w14:paraId="4EDD37AB" w14:textId="77777777" w:rsidR="008D5D0F" w:rsidRPr="001316B0" w:rsidRDefault="0047697B"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proofErr w:type="spellStart"/>
            <w:r w:rsidRPr="001316B0">
              <w:rPr>
                <w:rFonts w:ascii="Arial" w:hAnsi="Arial" w:cs="Arial"/>
                <w:lang w:val="en-GB" w:eastAsia="pt-BR"/>
              </w:rPr>
              <w:t>Mtoe</w:t>
            </w:r>
            <w:proofErr w:type="spellEnd"/>
          </w:p>
        </w:tc>
        <w:tc>
          <w:tcPr>
            <w:tcW w:w="850" w:type="dxa"/>
            <w:tcBorders>
              <w:top w:val="nil"/>
              <w:left w:val="single" w:sz="6" w:space="0" w:color="auto"/>
              <w:bottom w:val="single" w:sz="6" w:space="0" w:color="auto"/>
              <w:right w:val="single" w:sz="6" w:space="0" w:color="auto"/>
            </w:tcBorders>
          </w:tcPr>
          <w:p w14:paraId="17AD6A2C"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w:t>
            </w:r>
          </w:p>
        </w:tc>
        <w:tc>
          <w:tcPr>
            <w:tcW w:w="992" w:type="dxa"/>
            <w:tcBorders>
              <w:top w:val="nil"/>
              <w:left w:val="single" w:sz="6" w:space="0" w:color="auto"/>
              <w:bottom w:val="single" w:sz="6" w:space="0" w:color="auto"/>
              <w:right w:val="single" w:sz="6" w:space="0" w:color="auto"/>
            </w:tcBorders>
          </w:tcPr>
          <w:p w14:paraId="72CEE5A9" w14:textId="77777777" w:rsidR="008D5D0F" w:rsidRPr="001316B0" w:rsidRDefault="0047697B"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proofErr w:type="spellStart"/>
            <w:r w:rsidRPr="001316B0">
              <w:rPr>
                <w:rFonts w:ascii="Arial" w:hAnsi="Arial" w:cs="Arial"/>
                <w:lang w:val="en-GB" w:eastAsia="pt-BR"/>
              </w:rPr>
              <w:t>Mtoe</w:t>
            </w:r>
            <w:proofErr w:type="spellEnd"/>
          </w:p>
        </w:tc>
        <w:tc>
          <w:tcPr>
            <w:tcW w:w="851" w:type="dxa"/>
            <w:tcBorders>
              <w:top w:val="nil"/>
              <w:left w:val="single" w:sz="6" w:space="0" w:color="auto"/>
              <w:bottom w:val="single" w:sz="6" w:space="0" w:color="auto"/>
              <w:right w:val="single" w:sz="6" w:space="0" w:color="auto"/>
            </w:tcBorders>
          </w:tcPr>
          <w:p w14:paraId="064D6FC5"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w:t>
            </w:r>
          </w:p>
        </w:tc>
        <w:tc>
          <w:tcPr>
            <w:tcW w:w="992" w:type="dxa"/>
            <w:tcBorders>
              <w:top w:val="nil"/>
              <w:left w:val="single" w:sz="6" w:space="0" w:color="auto"/>
              <w:bottom w:val="single" w:sz="6" w:space="0" w:color="auto"/>
              <w:right w:val="single" w:sz="6" w:space="0" w:color="auto"/>
            </w:tcBorders>
          </w:tcPr>
          <w:p w14:paraId="63C59748" w14:textId="77777777" w:rsidR="008D5D0F" w:rsidRPr="001316B0" w:rsidRDefault="0047697B"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proofErr w:type="spellStart"/>
            <w:r w:rsidRPr="001316B0">
              <w:rPr>
                <w:rFonts w:ascii="Arial" w:hAnsi="Arial" w:cs="Arial"/>
                <w:lang w:val="en-GB" w:eastAsia="pt-BR"/>
              </w:rPr>
              <w:t>Mtoe</w:t>
            </w:r>
            <w:proofErr w:type="spellEnd"/>
          </w:p>
        </w:tc>
        <w:tc>
          <w:tcPr>
            <w:tcW w:w="851" w:type="dxa"/>
            <w:tcBorders>
              <w:top w:val="nil"/>
              <w:left w:val="single" w:sz="6" w:space="0" w:color="auto"/>
              <w:bottom w:val="single" w:sz="6" w:space="0" w:color="auto"/>
              <w:right w:val="single" w:sz="6" w:space="0" w:color="auto"/>
            </w:tcBorders>
          </w:tcPr>
          <w:p w14:paraId="2E498045"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w:t>
            </w:r>
          </w:p>
        </w:tc>
        <w:tc>
          <w:tcPr>
            <w:tcW w:w="992" w:type="dxa"/>
            <w:tcBorders>
              <w:top w:val="nil"/>
              <w:left w:val="single" w:sz="6" w:space="0" w:color="auto"/>
              <w:bottom w:val="single" w:sz="6" w:space="0" w:color="auto"/>
              <w:right w:val="single" w:sz="6" w:space="0" w:color="auto"/>
            </w:tcBorders>
          </w:tcPr>
          <w:p w14:paraId="54CAAC1C" w14:textId="77777777" w:rsidR="008D5D0F" w:rsidRPr="001316B0" w:rsidRDefault="0047697B"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proofErr w:type="spellStart"/>
            <w:r w:rsidRPr="001316B0">
              <w:rPr>
                <w:rFonts w:ascii="Arial" w:hAnsi="Arial" w:cs="Arial"/>
                <w:lang w:val="en-GB" w:eastAsia="pt-BR"/>
              </w:rPr>
              <w:t>Mtoe</w:t>
            </w:r>
            <w:proofErr w:type="spellEnd"/>
          </w:p>
        </w:tc>
        <w:tc>
          <w:tcPr>
            <w:tcW w:w="851" w:type="dxa"/>
            <w:tcBorders>
              <w:top w:val="nil"/>
              <w:left w:val="single" w:sz="6" w:space="0" w:color="auto"/>
              <w:bottom w:val="single" w:sz="6" w:space="0" w:color="auto"/>
              <w:right w:val="single" w:sz="12" w:space="0" w:color="auto"/>
            </w:tcBorders>
          </w:tcPr>
          <w:p w14:paraId="7E398E3A"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w:t>
            </w:r>
          </w:p>
        </w:tc>
      </w:tr>
      <w:tr w:rsidR="00FC3075" w:rsidRPr="001316B0" w14:paraId="6E6B762F" w14:textId="77777777" w:rsidTr="00E10D16">
        <w:trPr>
          <w:jc w:val="center"/>
        </w:trPr>
        <w:tc>
          <w:tcPr>
            <w:tcW w:w="1951" w:type="dxa"/>
            <w:tcBorders>
              <w:top w:val="nil"/>
              <w:left w:val="single" w:sz="12" w:space="0" w:color="auto"/>
              <w:bottom w:val="single" w:sz="6" w:space="0" w:color="auto"/>
              <w:right w:val="single" w:sz="6" w:space="0" w:color="auto"/>
            </w:tcBorders>
          </w:tcPr>
          <w:p w14:paraId="347BE33B" w14:textId="77777777" w:rsidR="008D5D0F" w:rsidRPr="001316B0" w:rsidRDefault="00A14E35" w:rsidP="00566089">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Petroleum</w:t>
            </w:r>
            <w:r w:rsidR="00566089" w:rsidRPr="001316B0">
              <w:rPr>
                <w:rFonts w:ascii="Arial" w:hAnsi="Arial" w:cs="Arial"/>
                <w:lang w:val="en-GB" w:eastAsia="pt-BR"/>
              </w:rPr>
              <w:t xml:space="preserve"> and by-products</w:t>
            </w:r>
          </w:p>
        </w:tc>
        <w:tc>
          <w:tcPr>
            <w:tcW w:w="851" w:type="dxa"/>
            <w:tcBorders>
              <w:top w:val="nil"/>
              <w:left w:val="single" w:sz="6" w:space="0" w:color="auto"/>
              <w:bottom w:val="single" w:sz="6" w:space="0" w:color="auto"/>
              <w:right w:val="single" w:sz="6" w:space="0" w:color="auto"/>
            </w:tcBorders>
          </w:tcPr>
          <w:p w14:paraId="0FC91C5D"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57</w:t>
            </w:r>
            <w:r w:rsidR="00CD69A3" w:rsidRPr="001316B0">
              <w:rPr>
                <w:rFonts w:ascii="Arial" w:hAnsi="Arial" w:cs="Arial"/>
                <w:lang w:val="en-GB" w:eastAsia="pt-BR"/>
              </w:rPr>
              <w:t>.</w:t>
            </w:r>
            <w:r w:rsidRPr="001316B0">
              <w:rPr>
                <w:rFonts w:ascii="Arial" w:hAnsi="Arial" w:cs="Arial"/>
                <w:lang w:val="en-GB" w:eastAsia="pt-BR"/>
              </w:rPr>
              <w:t>7</w:t>
            </w:r>
          </w:p>
        </w:tc>
        <w:tc>
          <w:tcPr>
            <w:tcW w:w="850" w:type="dxa"/>
            <w:tcBorders>
              <w:top w:val="nil"/>
              <w:left w:val="single" w:sz="6" w:space="0" w:color="auto"/>
              <w:bottom w:val="single" w:sz="6" w:space="0" w:color="auto"/>
              <w:right w:val="single" w:sz="6" w:space="0" w:color="auto"/>
            </w:tcBorders>
          </w:tcPr>
          <w:p w14:paraId="3151D72B"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40</w:t>
            </w:r>
            <w:r w:rsidR="00CD69A3" w:rsidRPr="001316B0">
              <w:rPr>
                <w:rFonts w:ascii="Arial" w:hAnsi="Arial" w:cs="Arial"/>
                <w:lang w:val="en-GB" w:eastAsia="pt-BR"/>
              </w:rPr>
              <w:t>.</w:t>
            </w:r>
            <w:r w:rsidRPr="001316B0">
              <w:rPr>
                <w:rFonts w:ascii="Arial" w:hAnsi="Arial" w:cs="Arial"/>
                <w:lang w:val="en-GB" w:eastAsia="pt-BR"/>
              </w:rPr>
              <w:t>7</w:t>
            </w:r>
          </w:p>
        </w:tc>
        <w:tc>
          <w:tcPr>
            <w:tcW w:w="992" w:type="dxa"/>
            <w:tcBorders>
              <w:top w:val="nil"/>
              <w:left w:val="single" w:sz="6" w:space="0" w:color="auto"/>
              <w:bottom w:val="single" w:sz="6" w:space="0" w:color="auto"/>
              <w:right w:val="single" w:sz="6" w:space="0" w:color="auto"/>
            </w:tcBorders>
          </w:tcPr>
          <w:p w14:paraId="2BB8515F"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8</w:t>
            </w:r>
            <w:r w:rsidR="008D5D0F" w:rsidRPr="001316B0">
              <w:rPr>
                <w:rFonts w:ascii="Arial" w:hAnsi="Arial" w:cs="Arial"/>
                <w:lang w:val="en-GB" w:eastAsia="pt-BR"/>
              </w:rPr>
              <w:t>6</w:t>
            </w:r>
            <w:r w:rsidR="00CD69A3" w:rsidRPr="001316B0">
              <w:rPr>
                <w:rFonts w:ascii="Arial" w:hAnsi="Arial" w:cs="Arial"/>
                <w:lang w:val="en-GB" w:eastAsia="pt-BR"/>
              </w:rPr>
              <w:t>.</w:t>
            </w:r>
            <w:r w:rsidR="008D5D0F" w:rsidRPr="001316B0">
              <w:rPr>
                <w:rFonts w:ascii="Arial" w:hAnsi="Arial" w:cs="Arial"/>
                <w:lang w:val="en-GB" w:eastAsia="pt-BR"/>
              </w:rPr>
              <w:t>7</w:t>
            </w:r>
          </w:p>
        </w:tc>
        <w:tc>
          <w:tcPr>
            <w:tcW w:w="851" w:type="dxa"/>
            <w:tcBorders>
              <w:top w:val="nil"/>
              <w:left w:val="single" w:sz="6" w:space="0" w:color="auto"/>
              <w:bottom w:val="single" w:sz="6" w:space="0" w:color="auto"/>
              <w:right w:val="single" w:sz="6" w:space="0" w:color="auto"/>
            </w:tcBorders>
          </w:tcPr>
          <w:p w14:paraId="591662F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9908EA" w:rsidRPr="001316B0">
              <w:rPr>
                <w:rFonts w:ascii="Arial" w:hAnsi="Arial" w:cs="Arial"/>
                <w:lang w:val="en-GB" w:eastAsia="pt-BR"/>
              </w:rPr>
              <w:t>5</w:t>
            </w:r>
            <w:r w:rsidR="00CD69A3" w:rsidRPr="001316B0">
              <w:rPr>
                <w:rFonts w:ascii="Arial" w:hAnsi="Arial" w:cs="Arial"/>
                <w:lang w:val="en-GB" w:eastAsia="pt-BR"/>
              </w:rPr>
              <w:t>.</w:t>
            </w:r>
            <w:r w:rsidR="009908EA" w:rsidRPr="001316B0">
              <w:rPr>
                <w:rFonts w:ascii="Arial" w:hAnsi="Arial" w:cs="Arial"/>
                <w:lang w:val="en-GB" w:eastAsia="pt-BR"/>
              </w:rPr>
              <w:t>5</w:t>
            </w:r>
          </w:p>
        </w:tc>
        <w:tc>
          <w:tcPr>
            <w:tcW w:w="992" w:type="dxa"/>
            <w:tcBorders>
              <w:top w:val="nil"/>
              <w:left w:val="single" w:sz="6" w:space="0" w:color="auto"/>
              <w:bottom w:val="single" w:sz="6" w:space="0" w:color="auto"/>
              <w:right w:val="single" w:sz="6" w:space="0" w:color="auto"/>
            </w:tcBorders>
          </w:tcPr>
          <w:p w14:paraId="4ADEAD4D"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8</w:t>
            </w:r>
            <w:r w:rsidR="009908EA" w:rsidRPr="001316B0">
              <w:rPr>
                <w:rFonts w:ascii="Arial" w:hAnsi="Arial" w:cs="Arial"/>
                <w:lang w:val="en-GB" w:eastAsia="pt-BR"/>
              </w:rPr>
              <w:t>4</w:t>
            </w:r>
            <w:r w:rsidR="00CD69A3" w:rsidRPr="001316B0">
              <w:rPr>
                <w:rFonts w:ascii="Arial" w:hAnsi="Arial" w:cs="Arial"/>
                <w:lang w:val="en-GB" w:eastAsia="pt-BR"/>
              </w:rPr>
              <w:t>.</w:t>
            </w:r>
            <w:r w:rsidR="009908EA" w:rsidRPr="001316B0">
              <w:rPr>
                <w:rFonts w:ascii="Arial" w:hAnsi="Arial" w:cs="Arial"/>
                <w:lang w:val="en-GB" w:eastAsia="pt-BR"/>
              </w:rPr>
              <w:t>5</w:t>
            </w:r>
          </w:p>
        </w:tc>
        <w:tc>
          <w:tcPr>
            <w:tcW w:w="851" w:type="dxa"/>
            <w:tcBorders>
              <w:top w:val="nil"/>
              <w:left w:val="single" w:sz="6" w:space="0" w:color="auto"/>
              <w:bottom w:val="single" w:sz="6" w:space="0" w:color="auto"/>
              <w:right w:val="single" w:sz="6" w:space="0" w:color="auto"/>
            </w:tcBorders>
          </w:tcPr>
          <w:p w14:paraId="5BAB3ACA"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38</w:t>
            </w:r>
            <w:r w:rsidR="00CD69A3" w:rsidRPr="001316B0">
              <w:rPr>
                <w:rFonts w:ascii="Arial" w:hAnsi="Arial" w:cs="Arial"/>
                <w:lang w:val="en-GB" w:eastAsia="pt-BR"/>
              </w:rPr>
              <w:t>.</w:t>
            </w:r>
            <w:r w:rsidRPr="001316B0">
              <w:rPr>
                <w:rFonts w:ascii="Arial" w:hAnsi="Arial" w:cs="Arial"/>
                <w:lang w:val="en-GB" w:eastAsia="pt-BR"/>
              </w:rPr>
              <w:t>6</w:t>
            </w:r>
          </w:p>
        </w:tc>
        <w:tc>
          <w:tcPr>
            <w:tcW w:w="992" w:type="dxa"/>
            <w:tcBorders>
              <w:top w:val="nil"/>
              <w:left w:val="single" w:sz="6" w:space="0" w:color="auto"/>
              <w:bottom w:val="single" w:sz="6" w:space="0" w:color="auto"/>
              <w:right w:val="single" w:sz="6" w:space="0" w:color="auto"/>
            </w:tcBorders>
          </w:tcPr>
          <w:p w14:paraId="52FB2CBA"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92</w:t>
            </w:r>
            <w:r w:rsidR="00CD69A3" w:rsidRPr="001316B0">
              <w:rPr>
                <w:rFonts w:ascii="Arial" w:hAnsi="Arial" w:cs="Arial"/>
                <w:lang w:val="en-GB" w:eastAsia="pt-BR"/>
              </w:rPr>
              <w:t>.</w:t>
            </w:r>
            <w:r w:rsidRPr="001316B0">
              <w:rPr>
                <w:rFonts w:ascii="Arial" w:hAnsi="Arial" w:cs="Arial"/>
                <w:lang w:val="en-GB" w:eastAsia="pt-BR"/>
              </w:rPr>
              <w:t>4</w:t>
            </w:r>
          </w:p>
        </w:tc>
        <w:tc>
          <w:tcPr>
            <w:tcW w:w="851" w:type="dxa"/>
            <w:tcBorders>
              <w:top w:val="nil"/>
              <w:left w:val="single" w:sz="6" w:space="0" w:color="auto"/>
              <w:bottom w:val="single" w:sz="6" w:space="0" w:color="auto"/>
              <w:right w:val="single" w:sz="12" w:space="0" w:color="auto"/>
            </w:tcBorders>
          </w:tcPr>
          <w:p w14:paraId="08EFB12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w:t>
            </w:r>
            <w:r w:rsidR="0064571F" w:rsidRPr="001316B0">
              <w:rPr>
                <w:rFonts w:ascii="Arial" w:hAnsi="Arial" w:cs="Arial"/>
                <w:lang w:val="en-GB" w:eastAsia="pt-BR"/>
              </w:rPr>
              <w:t>7</w:t>
            </w:r>
            <w:r w:rsidR="00CD69A3" w:rsidRPr="001316B0">
              <w:rPr>
                <w:rFonts w:ascii="Arial" w:hAnsi="Arial" w:cs="Arial"/>
                <w:lang w:val="en-GB" w:eastAsia="pt-BR"/>
              </w:rPr>
              <w:t>.</w:t>
            </w:r>
            <w:r w:rsidR="0064571F" w:rsidRPr="001316B0">
              <w:rPr>
                <w:rFonts w:ascii="Arial" w:hAnsi="Arial" w:cs="Arial"/>
                <w:lang w:val="en-GB" w:eastAsia="pt-BR"/>
              </w:rPr>
              <w:t>9</w:t>
            </w:r>
          </w:p>
        </w:tc>
      </w:tr>
      <w:tr w:rsidR="00FC3075" w:rsidRPr="001316B0" w14:paraId="5B166BC0"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2BA1ED8D" w14:textId="77777777" w:rsidR="008D5D0F" w:rsidRPr="001316B0" w:rsidRDefault="00566089" w:rsidP="00566089">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Natural Gas</w:t>
            </w:r>
          </w:p>
        </w:tc>
        <w:tc>
          <w:tcPr>
            <w:tcW w:w="851" w:type="dxa"/>
            <w:tcBorders>
              <w:top w:val="single" w:sz="6" w:space="0" w:color="auto"/>
              <w:left w:val="single" w:sz="6" w:space="0" w:color="auto"/>
              <w:bottom w:val="single" w:sz="6" w:space="0" w:color="auto"/>
              <w:right w:val="single" w:sz="6" w:space="0" w:color="auto"/>
            </w:tcBorders>
          </w:tcPr>
          <w:p w14:paraId="7E22F31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CD69A3" w:rsidRPr="001316B0">
              <w:rPr>
                <w:rFonts w:ascii="Arial" w:hAnsi="Arial" w:cs="Arial"/>
                <w:lang w:val="en-GB" w:eastAsia="pt-BR"/>
              </w:rPr>
              <w:t>.</w:t>
            </w:r>
            <w:r w:rsidRPr="001316B0">
              <w:rPr>
                <w:rFonts w:ascii="Arial" w:hAnsi="Arial" w:cs="Arial"/>
                <w:lang w:val="en-GB" w:eastAsia="pt-BR"/>
              </w:rPr>
              <w:t>3</w:t>
            </w:r>
          </w:p>
        </w:tc>
        <w:tc>
          <w:tcPr>
            <w:tcW w:w="850" w:type="dxa"/>
            <w:tcBorders>
              <w:top w:val="single" w:sz="6" w:space="0" w:color="auto"/>
              <w:left w:val="single" w:sz="6" w:space="0" w:color="auto"/>
              <w:bottom w:val="single" w:sz="6" w:space="0" w:color="auto"/>
              <w:right w:val="single" w:sz="6" w:space="0" w:color="auto"/>
            </w:tcBorders>
          </w:tcPr>
          <w:p w14:paraId="1DD4B46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w:t>
            </w:r>
            <w:r w:rsidR="00CD69A3" w:rsidRPr="001316B0">
              <w:rPr>
                <w:rFonts w:ascii="Arial" w:hAnsi="Arial" w:cs="Arial"/>
                <w:lang w:val="en-GB" w:eastAsia="pt-BR"/>
              </w:rPr>
              <w:t>.</w:t>
            </w:r>
            <w:r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04191DB3"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10</w:t>
            </w:r>
            <w:r w:rsidR="00CD69A3" w:rsidRPr="001316B0">
              <w:rPr>
                <w:rFonts w:ascii="Arial" w:hAnsi="Arial" w:cs="Arial"/>
                <w:lang w:val="en-GB" w:eastAsia="pt-BR"/>
              </w:rPr>
              <w:t>.</w:t>
            </w:r>
            <w:r w:rsidRPr="001316B0">
              <w:rPr>
                <w:rFonts w:ascii="Arial" w:hAnsi="Arial" w:cs="Arial"/>
                <w:lang w:val="en-GB" w:eastAsia="pt-BR"/>
              </w:rPr>
              <w:t>3</w:t>
            </w:r>
          </w:p>
        </w:tc>
        <w:tc>
          <w:tcPr>
            <w:tcW w:w="851" w:type="dxa"/>
            <w:tcBorders>
              <w:top w:val="single" w:sz="6" w:space="0" w:color="auto"/>
              <w:left w:val="single" w:sz="6" w:space="0" w:color="auto"/>
              <w:bottom w:val="single" w:sz="6" w:space="0" w:color="auto"/>
              <w:right w:val="single" w:sz="6" w:space="0" w:color="auto"/>
            </w:tcBorders>
          </w:tcPr>
          <w:p w14:paraId="52950670"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5</w:t>
            </w:r>
            <w:r w:rsidR="00CD69A3" w:rsidRPr="001316B0">
              <w:rPr>
                <w:rFonts w:ascii="Arial" w:hAnsi="Arial" w:cs="Arial"/>
                <w:lang w:val="en-GB" w:eastAsia="pt-BR"/>
              </w:rPr>
              <w:t>.</w:t>
            </w:r>
            <w:r w:rsidRPr="001316B0">
              <w:rPr>
                <w:rFonts w:ascii="Arial" w:hAnsi="Arial" w:cs="Arial"/>
                <w:lang w:val="en-GB" w:eastAsia="pt-BR"/>
              </w:rPr>
              <w:t>4</w:t>
            </w:r>
          </w:p>
        </w:tc>
        <w:tc>
          <w:tcPr>
            <w:tcW w:w="992" w:type="dxa"/>
            <w:tcBorders>
              <w:top w:val="single" w:sz="6" w:space="0" w:color="auto"/>
              <w:left w:val="single" w:sz="6" w:space="0" w:color="auto"/>
              <w:bottom w:val="single" w:sz="6" w:space="0" w:color="auto"/>
              <w:right w:val="single" w:sz="6" w:space="0" w:color="auto"/>
            </w:tcBorders>
          </w:tcPr>
          <w:p w14:paraId="3A24C92F"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w:t>
            </w:r>
            <w:r w:rsidR="00CD69A3" w:rsidRPr="001316B0">
              <w:rPr>
                <w:rFonts w:ascii="Arial" w:hAnsi="Arial" w:cs="Arial"/>
                <w:lang w:val="en-GB" w:eastAsia="pt-BR"/>
              </w:rPr>
              <w:t>.</w:t>
            </w:r>
            <w:r w:rsidRPr="001316B0">
              <w:rPr>
                <w:rFonts w:ascii="Arial" w:hAnsi="Arial" w:cs="Arial"/>
                <w:lang w:val="en-GB" w:eastAsia="pt-BR"/>
              </w:rPr>
              <w:t>5</w:t>
            </w:r>
          </w:p>
        </w:tc>
        <w:tc>
          <w:tcPr>
            <w:tcW w:w="851" w:type="dxa"/>
            <w:tcBorders>
              <w:top w:val="single" w:sz="6" w:space="0" w:color="auto"/>
              <w:left w:val="single" w:sz="6" w:space="0" w:color="auto"/>
              <w:bottom w:val="single" w:sz="6" w:space="0" w:color="auto"/>
              <w:right w:val="single" w:sz="6" w:space="0" w:color="auto"/>
            </w:tcBorders>
          </w:tcPr>
          <w:p w14:paraId="3046E964"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9</w:t>
            </w:r>
            <w:r w:rsidR="00CD69A3" w:rsidRPr="001316B0">
              <w:rPr>
                <w:rFonts w:ascii="Arial" w:hAnsi="Arial" w:cs="Arial"/>
                <w:lang w:val="en-GB" w:eastAsia="pt-BR"/>
              </w:rPr>
              <w:t>.</w:t>
            </w:r>
            <w:r w:rsidR="008D5D0F" w:rsidRPr="001316B0">
              <w:rPr>
                <w:rFonts w:ascii="Arial" w:hAnsi="Arial" w:cs="Arial"/>
                <w:lang w:val="en-GB" w:eastAsia="pt-BR"/>
              </w:rPr>
              <w:t>4</w:t>
            </w:r>
          </w:p>
        </w:tc>
        <w:tc>
          <w:tcPr>
            <w:tcW w:w="992" w:type="dxa"/>
            <w:tcBorders>
              <w:top w:val="single" w:sz="6" w:space="0" w:color="auto"/>
              <w:left w:val="single" w:sz="6" w:space="0" w:color="auto"/>
              <w:bottom w:val="single" w:sz="6" w:space="0" w:color="auto"/>
              <w:right w:val="single" w:sz="6" w:space="0" w:color="auto"/>
            </w:tcBorders>
          </w:tcPr>
          <w:p w14:paraId="2B746896"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9908EA" w:rsidRPr="001316B0">
              <w:rPr>
                <w:rFonts w:ascii="Arial" w:hAnsi="Arial" w:cs="Arial"/>
                <w:lang w:val="en-GB" w:eastAsia="pt-BR"/>
              </w:rPr>
              <w:t>1</w:t>
            </w:r>
            <w:r w:rsidR="00CD69A3" w:rsidRPr="001316B0">
              <w:rPr>
                <w:rFonts w:ascii="Arial" w:hAnsi="Arial" w:cs="Arial"/>
                <w:lang w:val="en-GB" w:eastAsia="pt-BR"/>
              </w:rPr>
              <w:t>.</w:t>
            </w:r>
            <w:r w:rsidR="009908EA" w:rsidRPr="001316B0">
              <w:rPr>
                <w:rFonts w:ascii="Arial" w:hAnsi="Arial" w:cs="Arial"/>
                <w:lang w:val="en-GB" w:eastAsia="pt-BR"/>
              </w:rPr>
              <w:t>1</w:t>
            </w:r>
          </w:p>
        </w:tc>
        <w:tc>
          <w:tcPr>
            <w:tcW w:w="851" w:type="dxa"/>
            <w:tcBorders>
              <w:top w:val="single" w:sz="6" w:space="0" w:color="auto"/>
              <w:left w:val="single" w:sz="6" w:space="0" w:color="auto"/>
              <w:bottom w:val="single" w:sz="6" w:space="0" w:color="auto"/>
              <w:right w:val="single" w:sz="12" w:space="0" w:color="auto"/>
            </w:tcBorders>
          </w:tcPr>
          <w:p w14:paraId="2BDD125E" w14:textId="77777777" w:rsidR="008D5D0F" w:rsidRPr="001316B0" w:rsidRDefault="0064571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8</w:t>
            </w:r>
            <w:r w:rsidR="00CD69A3" w:rsidRPr="001316B0">
              <w:rPr>
                <w:rFonts w:ascii="Arial" w:hAnsi="Arial" w:cs="Arial"/>
                <w:lang w:val="en-GB" w:eastAsia="pt-BR"/>
              </w:rPr>
              <w:t>.</w:t>
            </w:r>
            <w:r w:rsidRPr="001316B0">
              <w:rPr>
                <w:rFonts w:ascii="Arial" w:hAnsi="Arial" w:cs="Arial"/>
                <w:lang w:val="en-GB" w:eastAsia="pt-BR"/>
              </w:rPr>
              <w:t>7</w:t>
            </w:r>
          </w:p>
        </w:tc>
      </w:tr>
      <w:tr w:rsidR="00FC3075" w:rsidRPr="001316B0" w14:paraId="1C4F3F39"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06308928" w14:textId="77777777" w:rsidR="008D5D0F" w:rsidRPr="001316B0" w:rsidRDefault="00566089" w:rsidP="00566089">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Mineral coal and by-products</w:t>
            </w:r>
          </w:p>
        </w:tc>
        <w:tc>
          <w:tcPr>
            <w:tcW w:w="851" w:type="dxa"/>
            <w:tcBorders>
              <w:top w:val="single" w:sz="6" w:space="0" w:color="auto"/>
              <w:left w:val="single" w:sz="6" w:space="0" w:color="auto"/>
              <w:bottom w:val="single" w:sz="6" w:space="0" w:color="auto"/>
              <w:right w:val="single" w:sz="6" w:space="0" w:color="auto"/>
            </w:tcBorders>
          </w:tcPr>
          <w:p w14:paraId="0F0A864C"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9</w:t>
            </w:r>
            <w:r w:rsidR="00CD69A3" w:rsidRPr="001316B0">
              <w:rPr>
                <w:rFonts w:ascii="Arial" w:hAnsi="Arial" w:cs="Arial"/>
                <w:lang w:val="en-GB" w:eastAsia="pt-BR"/>
              </w:rPr>
              <w:t>.</w:t>
            </w:r>
            <w:r w:rsidRPr="001316B0">
              <w:rPr>
                <w:rFonts w:ascii="Arial" w:hAnsi="Arial" w:cs="Arial"/>
                <w:lang w:val="en-GB" w:eastAsia="pt-BR"/>
              </w:rPr>
              <w:t>6</w:t>
            </w:r>
          </w:p>
        </w:tc>
        <w:tc>
          <w:tcPr>
            <w:tcW w:w="850" w:type="dxa"/>
            <w:tcBorders>
              <w:top w:val="single" w:sz="6" w:space="0" w:color="auto"/>
              <w:left w:val="single" w:sz="6" w:space="0" w:color="auto"/>
              <w:bottom w:val="single" w:sz="6" w:space="0" w:color="auto"/>
              <w:right w:val="single" w:sz="6" w:space="0" w:color="auto"/>
            </w:tcBorders>
          </w:tcPr>
          <w:p w14:paraId="21CEBF05"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6</w:t>
            </w:r>
            <w:r w:rsidR="00CD69A3" w:rsidRPr="001316B0">
              <w:rPr>
                <w:rFonts w:ascii="Arial" w:hAnsi="Arial" w:cs="Arial"/>
                <w:lang w:val="en-GB" w:eastAsia="pt-BR"/>
              </w:rPr>
              <w:t>.</w:t>
            </w:r>
            <w:r w:rsidRPr="001316B0">
              <w:rPr>
                <w:rFonts w:ascii="Arial" w:hAnsi="Arial" w:cs="Arial"/>
                <w:lang w:val="en-GB" w:eastAsia="pt-BR"/>
              </w:rPr>
              <w:t>8</w:t>
            </w:r>
          </w:p>
        </w:tc>
        <w:tc>
          <w:tcPr>
            <w:tcW w:w="992" w:type="dxa"/>
            <w:tcBorders>
              <w:top w:val="single" w:sz="6" w:space="0" w:color="auto"/>
              <w:left w:val="single" w:sz="6" w:space="0" w:color="auto"/>
              <w:bottom w:val="single" w:sz="6" w:space="0" w:color="auto"/>
              <w:right w:val="single" w:sz="6" w:space="0" w:color="auto"/>
            </w:tcBorders>
          </w:tcPr>
          <w:p w14:paraId="1382D92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3</w:t>
            </w:r>
            <w:r w:rsidR="00CD69A3" w:rsidRPr="001316B0">
              <w:rPr>
                <w:rFonts w:ascii="Arial" w:hAnsi="Arial" w:cs="Arial"/>
                <w:lang w:val="en-GB" w:eastAsia="pt-BR"/>
              </w:rPr>
              <w:t>.</w:t>
            </w:r>
            <w:r w:rsidR="009908EA" w:rsidRPr="001316B0">
              <w:rPr>
                <w:rFonts w:ascii="Arial" w:hAnsi="Arial" w:cs="Arial"/>
                <w:lang w:val="en-GB" w:eastAsia="pt-BR"/>
              </w:rPr>
              <w:t>6</w:t>
            </w:r>
          </w:p>
        </w:tc>
        <w:tc>
          <w:tcPr>
            <w:tcW w:w="851" w:type="dxa"/>
            <w:tcBorders>
              <w:top w:val="single" w:sz="6" w:space="0" w:color="auto"/>
              <w:left w:val="single" w:sz="6" w:space="0" w:color="auto"/>
              <w:bottom w:val="single" w:sz="6" w:space="0" w:color="auto"/>
              <w:right w:val="single" w:sz="6" w:space="0" w:color="auto"/>
            </w:tcBorders>
          </w:tcPr>
          <w:p w14:paraId="1DD10802"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7</w:t>
            </w:r>
            <w:r w:rsidR="00CD69A3" w:rsidRPr="001316B0">
              <w:rPr>
                <w:rFonts w:ascii="Arial" w:hAnsi="Arial" w:cs="Arial"/>
                <w:lang w:val="en-GB" w:eastAsia="pt-BR"/>
              </w:rPr>
              <w:t>.</w:t>
            </w:r>
            <w:r w:rsidR="009908EA"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772CE49A"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13</w:t>
            </w:r>
            <w:r w:rsidR="00CD69A3" w:rsidRPr="001316B0">
              <w:rPr>
                <w:rFonts w:ascii="Arial" w:hAnsi="Arial" w:cs="Arial"/>
                <w:lang w:val="en-GB" w:eastAsia="pt-BR"/>
              </w:rPr>
              <w:t>.</w:t>
            </w:r>
            <w:r w:rsidR="009908EA" w:rsidRPr="001316B0">
              <w:rPr>
                <w:rFonts w:ascii="Arial" w:hAnsi="Arial" w:cs="Arial"/>
                <w:lang w:val="en-GB" w:eastAsia="pt-BR"/>
              </w:rPr>
              <w:t>7</w:t>
            </w:r>
          </w:p>
        </w:tc>
        <w:tc>
          <w:tcPr>
            <w:tcW w:w="851" w:type="dxa"/>
            <w:tcBorders>
              <w:top w:val="single" w:sz="6" w:space="0" w:color="auto"/>
              <w:left w:val="single" w:sz="6" w:space="0" w:color="auto"/>
              <w:bottom w:val="single" w:sz="6" w:space="0" w:color="auto"/>
              <w:right w:val="single" w:sz="6" w:space="0" w:color="auto"/>
            </w:tcBorders>
          </w:tcPr>
          <w:p w14:paraId="104AEAC6"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6</w:t>
            </w:r>
            <w:r w:rsidR="00CD69A3" w:rsidRPr="001316B0">
              <w:rPr>
                <w:rFonts w:ascii="Arial" w:hAnsi="Arial" w:cs="Arial"/>
                <w:lang w:val="en-GB" w:eastAsia="pt-BR"/>
              </w:rPr>
              <w:t>.</w:t>
            </w:r>
            <w:r w:rsidRPr="001316B0">
              <w:rPr>
                <w:rFonts w:ascii="Arial" w:hAnsi="Arial" w:cs="Arial"/>
                <w:lang w:val="en-GB" w:eastAsia="pt-BR"/>
              </w:rPr>
              <w:t>3</w:t>
            </w:r>
          </w:p>
        </w:tc>
        <w:tc>
          <w:tcPr>
            <w:tcW w:w="992" w:type="dxa"/>
            <w:tcBorders>
              <w:top w:val="single" w:sz="6" w:space="0" w:color="auto"/>
              <w:left w:val="single" w:sz="6" w:space="0" w:color="auto"/>
              <w:bottom w:val="single" w:sz="6" w:space="0" w:color="auto"/>
              <w:right w:val="single" w:sz="6" w:space="0" w:color="auto"/>
            </w:tcBorders>
          </w:tcPr>
          <w:p w14:paraId="251D671A"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1</w:t>
            </w:r>
            <w:r w:rsidR="00CD69A3" w:rsidRPr="001316B0">
              <w:rPr>
                <w:rFonts w:ascii="Arial" w:hAnsi="Arial" w:cs="Arial"/>
                <w:lang w:val="en-GB" w:eastAsia="pt-BR"/>
              </w:rPr>
              <w:t>.</w:t>
            </w:r>
            <w:r w:rsidR="009908EA" w:rsidRPr="001316B0">
              <w:rPr>
                <w:rFonts w:ascii="Arial" w:hAnsi="Arial" w:cs="Arial"/>
                <w:lang w:val="en-GB" w:eastAsia="pt-BR"/>
              </w:rPr>
              <w:t>6</w:t>
            </w:r>
          </w:p>
        </w:tc>
        <w:tc>
          <w:tcPr>
            <w:tcW w:w="851" w:type="dxa"/>
            <w:tcBorders>
              <w:top w:val="single" w:sz="6" w:space="0" w:color="auto"/>
              <w:left w:val="single" w:sz="6" w:space="0" w:color="auto"/>
              <w:bottom w:val="single" w:sz="6" w:space="0" w:color="auto"/>
              <w:right w:val="single" w:sz="12" w:space="0" w:color="auto"/>
            </w:tcBorders>
          </w:tcPr>
          <w:p w14:paraId="74091A9F" w14:textId="77777777" w:rsidR="008D5D0F" w:rsidRPr="001316B0" w:rsidRDefault="0064571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CD69A3" w:rsidRPr="001316B0">
              <w:rPr>
                <w:rFonts w:ascii="Arial" w:hAnsi="Arial" w:cs="Arial"/>
                <w:lang w:val="en-GB" w:eastAsia="pt-BR"/>
              </w:rPr>
              <w:t>.</w:t>
            </w:r>
            <w:r w:rsidRPr="001316B0">
              <w:rPr>
                <w:rFonts w:ascii="Arial" w:hAnsi="Arial" w:cs="Arial"/>
                <w:lang w:val="en-GB" w:eastAsia="pt-BR"/>
              </w:rPr>
              <w:t>7</w:t>
            </w:r>
          </w:p>
        </w:tc>
      </w:tr>
      <w:tr w:rsidR="00FC3075" w:rsidRPr="001316B0" w14:paraId="3006F412"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2739321E"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Nuclear</w:t>
            </w:r>
            <w:r w:rsidR="009906E2" w:rsidRPr="001316B0">
              <w:rPr>
                <w:rFonts w:ascii="Arial" w:hAnsi="Arial" w:cs="Arial"/>
                <w:lang w:val="en-GB" w:eastAsia="pt-BR"/>
              </w:rPr>
              <w:t xml:space="preserve"> energy</w:t>
            </w:r>
          </w:p>
        </w:tc>
        <w:tc>
          <w:tcPr>
            <w:tcW w:w="851" w:type="dxa"/>
            <w:tcBorders>
              <w:top w:val="single" w:sz="6" w:space="0" w:color="auto"/>
              <w:left w:val="single" w:sz="6" w:space="0" w:color="auto"/>
              <w:bottom w:val="single" w:sz="6" w:space="0" w:color="auto"/>
              <w:right w:val="single" w:sz="6" w:space="0" w:color="auto"/>
            </w:tcBorders>
          </w:tcPr>
          <w:p w14:paraId="58447C8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0</w:t>
            </w:r>
            <w:r w:rsidR="00CD69A3" w:rsidRPr="001316B0">
              <w:rPr>
                <w:rFonts w:ascii="Arial" w:hAnsi="Arial" w:cs="Arial"/>
                <w:lang w:val="en-GB" w:eastAsia="pt-BR"/>
              </w:rPr>
              <w:t>.</w:t>
            </w:r>
            <w:r w:rsidRPr="001316B0">
              <w:rPr>
                <w:rFonts w:ascii="Arial" w:hAnsi="Arial" w:cs="Arial"/>
                <w:lang w:val="en-GB" w:eastAsia="pt-BR"/>
              </w:rPr>
              <w:t>6</w:t>
            </w:r>
          </w:p>
        </w:tc>
        <w:tc>
          <w:tcPr>
            <w:tcW w:w="850" w:type="dxa"/>
            <w:tcBorders>
              <w:top w:val="single" w:sz="6" w:space="0" w:color="auto"/>
              <w:left w:val="single" w:sz="6" w:space="0" w:color="auto"/>
              <w:bottom w:val="single" w:sz="6" w:space="0" w:color="auto"/>
              <w:right w:val="single" w:sz="6" w:space="0" w:color="auto"/>
            </w:tcBorders>
          </w:tcPr>
          <w:p w14:paraId="5669C91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0</w:t>
            </w:r>
            <w:r w:rsidR="00CD69A3" w:rsidRPr="001316B0">
              <w:rPr>
                <w:rFonts w:ascii="Arial" w:hAnsi="Arial" w:cs="Arial"/>
                <w:lang w:val="en-GB" w:eastAsia="pt-BR"/>
              </w:rPr>
              <w:t>.</w:t>
            </w:r>
            <w:r w:rsidRPr="001316B0">
              <w:rPr>
                <w:rFonts w:ascii="Arial" w:hAnsi="Arial" w:cs="Arial"/>
                <w:lang w:val="en-GB" w:eastAsia="pt-BR"/>
              </w:rPr>
              <w:t>4</w:t>
            </w:r>
          </w:p>
        </w:tc>
        <w:tc>
          <w:tcPr>
            <w:tcW w:w="992" w:type="dxa"/>
            <w:tcBorders>
              <w:top w:val="single" w:sz="6" w:space="0" w:color="auto"/>
              <w:left w:val="single" w:sz="6" w:space="0" w:color="auto"/>
              <w:bottom w:val="single" w:sz="6" w:space="0" w:color="auto"/>
              <w:right w:val="single" w:sz="6" w:space="0" w:color="auto"/>
            </w:tcBorders>
          </w:tcPr>
          <w:p w14:paraId="33536758"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CD69A3" w:rsidRPr="001316B0">
              <w:rPr>
                <w:rFonts w:ascii="Arial" w:hAnsi="Arial" w:cs="Arial"/>
                <w:lang w:val="en-GB" w:eastAsia="pt-BR"/>
              </w:rPr>
              <w:t>.</w:t>
            </w:r>
            <w:r w:rsidRPr="001316B0">
              <w:rPr>
                <w:rFonts w:ascii="Arial" w:hAnsi="Arial" w:cs="Arial"/>
                <w:lang w:val="en-GB" w:eastAsia="pt-BR"/>
              </w:rPr>
              <w:t>8</w:t>
            </w:r>
          </w:p>
        </w:tc>
        <w:tc>
          <w:tcPr>
            <w:tcW w:w="851" w:type="dxa"/>
            <w:tcBorders>
              <w:top w:val="single" w:sz="6" w:space="0" w:color="auto"/>
              <w:left w:val="single" w:sz="6" w:space="0" w:color="auto"/>
              <w:bottom w:val="single" w:sz="6" w:space="0" w:color="auto"/>
              <w:right w:val="single" w:sz="6" w:space="0" w:color="auto"/>
            </w:tcBorders>
          </w:tcPr>
          <w:p w14:paraId="21B0707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0</w:t>
            </w:r>
            <w:r w:rsidR="00CD69A3" w:rsidRPr="001316B0">
              <w:rPr>
                <w:rFonts w:ascii="Arial" w:hAnsi="Arial" w:cs="Arial"/>
                <w:lang w:val="en-GB" w:eastAsia="pt-BR"/>
              </w:rPr>
              <w:t>.</w:t>
            </w:r>
            <w:r w:rsidR="009908EA" w:rsidRPr="001316B0">
              <w:rPr>
                <w:rFonts w:ascii="Arial" w:hAnsi="Arial" w:cs="Arial"/>
                <w:lang w:val="en-GB" w:eastAsia="pt-BR"/>
              </w:rPr>
              <w:t>9</w:t>
            </w:r>
          </w:p>
        </w:tc>
        <w:tc>
          <w:tcPr>
            <w:tcW w:w="992" w:type="dxa"/>
            <w:tcBorders>
              <w:top w:val="single" w:sz="6" w:space="0" w:color="auto"/>
              <w:left w:val="single" w:sz="6" w:space="0" w:color="auto"/>
              <w:bottom w:val="single" w:sz="6" w:space="0" w:color="auto"/>
              <w:right w:val="single" w:sz="6" w:space="0" w:color="auto"/>
            </w:tcBorders>
          </w:tcPr>
          <w:p w14:paraId="08D74260"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CD69A3" w:rsidRPr="001316B0">
              <w:rPr>
                <w:rFonts w:ascii="Arial" w:hAnsi="Arial" w:cs="Arial"/>
                <w:lang w:val="en-GB" w:eastAsia="pt-BR"/>
              </w:rPr>
              <w:t>.</w:t>
            </w:r>
            <w:r w:rsidRPr="001316B0">
              <w:rPr>
                <w:rFonts w:ascii="Arial" w:hAnsi="Arial" w:cs="Arial"/>
                <w:lang w:val="en-GB" w:eastAsia="pt-BR"/>
              </w:rPr>
              <w:t>5</w:t>
            </w:r>
          </w:p>
        </w:tc>
        <w:tc>
          <w:tcPr>
            <w:tcW w:w="851" w:type="dxa"/>
            <w:tcBorders>
              <w:top w:val="single" w:sz="6" w:space="0" w:color="auto"/>
              <w:left w:val="single" w:sz="6" w:space="0" w:color="auto"/>
              <w:bottom w:val="single" w:sz="6" w:space="0" w:color="auto"/>
              <w:right w:val="single" w:sz="6" w:space="0" w:color="auto"/>
            </w:tcBorders>
          </w:tcPr>
          <w:p w14:paraId="451A18BE"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CD69A3" w:rsidRPr="001316B0">
              <w:rPr>
                <w:rFonts w:ascii="Arial" w:hAnsi="Arial" w:cs="Arial"/>
                <w:lang w:val="en-GB" w:eastAsia="pt-BR"/>
              </w:rPr>
              <w:t>.</w:t>
            </w:r>
            <w:r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15340FE3"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w:t>
            </w:r>
            <w:r w:rsidR="00CD69A3" w:rsidRPr="001316B0">
              <w:rPr>
                <w:rFonts w:ascii="Arial" w:hAnsi="Arial" w:cs="Arial"/>
                <w:lang w:val="en-GB" w:eastAsia="pt-BR"/>
              </w:rPr>
              <w:t>.</w:t>
            </w:r>
            <w:r w:rsidRPr="001316B0">
              <w:rPr>
                <w:rFonts w:ascii="Arial" w:hAnsi="Arial" w:cs="Arial"/>
                <w:lang w:val="en-GB" w:eastAsia="pt-BR"/>
              </w:rPr>
              <w:t>4</w:t>
            </w:r>
          </w:p>
        </w:tc>
        <w:tc>
          <w:tcPr>
            <w:tcW w:w="851" w:type="dxa"/>
            <w:tcBorders>
              <w:top w:val="single" w:sz="6" w:space="0" w:color="auto"/>
              <w:left w:val="single" w:sz="6" w:space="0" w:color="auto"/>
              <w:bottom w:val="single" w:sz="6" w:space="0" w:color="auto"/>
              <w:right w:val="single" w:sz="12" w:space="0" w:color="auto"/>
            </w:tcBorders>
          </w:tcPr>
          <w:p w14:paraId="0952294C"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CD69A3" w:rsidRPr="001316B0">
              <w:rPr>
                <w:rFonts w:ascii="Arial" w:hAnsi="Arial" w:cs="Arial"/>
                <w:lang w:val="en-GB" w:eastAsia="pt-BR"/>
              </w:rPr>
              <w:t>.</w:t>
            </w:r>
            <w:r w:rsidR="0064571F" w:rsidRPr="001316B0">
              <w:rPr>
                <w:rFonts w:ascii="Arial" w:hAnsi="Arial" w:cs="Arial"/>
                <w:lang w:val="en-GB" w:eastAsia="pt-BR"/>
              </w:rPr>
              <w:t>4</w:t>
            </w:r>
          </w:p>
        </w:tc>
      </w:tr>
      <w:tr w:rsidR="00FC3075" w:rsidRPr="001316B0" w14:paraId="3C043593"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15CE1781" w14:textId="77777777" w:rsidR="008D5D0F" w:rsidRPr="001316B0" w:rsidRDefault="004B3715" w:rsidP="004B3715">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 xml:space="preserve">Subtotal </w:t>
            </w:r>
            <w:r w:rsidRPr="001316B0">
              <w:rPr>
                <w:rFonts w:ascii="Arial" w:hAnsi="Arial" w:cs="Arial"/>
                <w:lang w:val="en-GB" w:eastAsia="pt-BR"/>
              </w:rPr>
              <w:br/>
              <w:t>non-renewable</w:t>
            </w:r>
          </w:p>
        </w:tc>
        <w:tc>
          <w:tcPr>
            <w:tcW w:w="851" w:type="dxa"/>
            <w:tcBorders>
              <w:top w:val="single" w:sz="6" w:space="0" w:color="auto"/>
              <w:left w:val="single" w:sz="6" w:space="0" w:color="auto"/>
              <w:bottom w:val="single" w:sz="6" w:space="0" w:color="auto"/>
              <w:right w:val="single" w:sz="6" w:space="0" w:color="auto"/>
            </w:tcBorders>
          </w:tcPr>
          <w:p w14:paraId="1E6875D9"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69</w:t>
            </w:r>
            <w:r w:rsidR="00CD69A3" w:rsidRPr="001316B0">
              <w:rPr>
                <w:rFonts w:ascii="Arial" w:hAnsi="Arial" w:cs="Arial"/>
                <w:lang w:val="en-GB" w:eastAsia="pt-BR"/>
              </w:rPr>
              <w:t>.</w:t>
            </w:r>
            <w:r w:rsidRPr="001316B0">
              <w:rPr>
                <w:rFonts w:ascii="Arial" w:hAnsi="Arial" w:cs="Arial"/>
                <w:lang w:val="en-GB" w:eastAsia="pt-BR"/>
              </w:rPr>
              <w:t>7</w:t>
            </w:r>
          </w:p>
        </w:tc>
        <w:tc>
          <w:tcPr>
            <w:tcW w:w="850" w:type="dxa"/>
            <w:tcBorders>
              <w:top w:val="single" w:sz="6" w:space="0" w:color="auto"/>
              <w:left w:val="single" w:sz="6" w:space="0" w:color="auto"/>
              <w:bottom w:val="single" w:sz="6" w:space="0" w:color="auto"/>
              <w:right w:val="single" w:sz="6" w:space="0" w:color="auto"/>
            </w:tcBorders>
          </w:tcPr>
          <w:p w14:paraId="287DD256"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50</w:t>
            </w:r>
            <w:r w:rsidR="00CD69A3" w:rsidRPr="001316B0">
              <w:rPr>
                <w:rFonts w:ascii="Arial" w:hAnsi="Arial" w:cs="Arial"/>
                <w:lang w:val="en-GB" w:eastAsia="pt-BR"/>
              </w:rPr>
              <w:t>.</w:t>
            </w:r>
            <w:r w:rsidRPr="001316B0">
              <w:rPr>
                <w:rFonts w:ascii="Arial" w:hAnsi="Arial" w:cs="Arial"/>
                <w:lang w:val="en-GB" w:eastAsia="pt-BR"/>
              </w:rPr>
              <w:t>9</w:t>
            </w:r>
          </w:p>
        </w:tc>
        <w:tc>
          <w:tcPr>
            <w:tcW w:w="992" w:type="dxa"/>
            <w:tcBorders>
              <w:top w:val="single" w:sz="6" w:space="0" w:color="auto"/>
              <w:left w:val="single" w:sz="6" w:space="0" w:color="auto"/>
              <w:bottom w:val="single" w:sz="6" w:space="0" w:color="auto"/>
              <w:right w:val="single" w:sz="6" w:space="0" w:color="auto"/>
            </w:tcBorders>
          </w:tcPr>
          <w:p w14:paraId="7DFAF22C"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112</w:t>
            </w:r>
            <w:r w:rsidR="00CD69A3" w:rsidRPr="001316B0">
              <w:rPr>
                <w:rFonts w:ascii="Arial" w:hAnsi="Arial" w:cs="Arial"/>
                <w:lang w:val="en-GB" w:eastAsia="pt-BR"/>
              </w:rPr>
              <w:t>.</w:t>
            </w:r>
            <w:r w:rsidRPr="001316B0">
              <w:rPr>
                <w:rFonts w:ascii="Arial" w:hAnsi="Arial" w:cs="Arial"/>
                <w:lang w:val="en-GB" w:eastAsia="pt-BR"/>
              </w:rPr>
              <w:t>4</w:t>
            </w:r>
          </w:p>
        </w:tc>
        <w:tc>
          <w:tcPr>
            <w:tcW w:w="851" w:type="dxa"/>
            <w:tcBorders>
              <w:top w:val="single" w:sz="6" w:space="0" w:color="auto"/>
              <w:left w:val="single" w:sz="6" w:space="0" w:color="auto"/>
              <w:bottom w:val="single" w:sz="6" w:space="0" w:color="auto"/>
              <w:right w:val="single" w:sz="6" w:space="0" w:color="auto"/>
            </w:tcBorders>
          </w:tcPr>
          <w:p w14:paraId="1F298663"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5</w:t>
            </w:r>
            <w:r w:rsidR="009908EA" w:rsidRPr="001316B0">
              <w:rPr>
                <w:rFonts w:ascii="Arial" w:hAnsi="Arial" w:cs="Arial"/>
                <w:lang w:val="en-GB" w:eastAsia="pt-BR"/>
              </w:rPr>
              <w:t>9</w:t>
            </w:r>
            <w:r w:rsidR="00CD69A3" w:rsidRPr="001316B0">
              <w:rPr>
                <w:rFonts w:ascii="Arial" w:hAnsi="Arial" w:cs="Arial"/>
                <w:lang w:val="en-GB" w:eastAsia="pt-BR"/>
              </w:rPr>
              <w:t>.</w:t>
            </w:r>
            <w:r w:rsidR="009908EA" w:rsidRPr="001316B0">
              <w:rPr>
                <w:rFonts w:ascii="Arial" w:hAnsi="Arial" w:cs="Arial"/>
                <w:lang w:val="en-GB" w:eastAsia="pt-BR"/>
              </w:rPr>
              <w:t>0</w:t>
            </w:r>
          </w:p>
        </w:tc>
        <w:tc>
          <w:tcPr>
            <w:tcW w:w="992" w:type="dxa"/>
            <w:tcBorders>
              <w:top w:val="single" w:sz="6" w:space="0" w:color="auto"/>
              <w:left w:val="single" w:sz="6" w:space="0" w:color="auto"/>
              <w:bottom w:val="single" w:sz="6" w:space="0" w:color="auto"/>
              <w:right w:val="single" w:sz="6" w:space="0" w:color="auto"/>
            </w:tcBorders>
          </w:tcPr>
          <w:p w14:paraId="171535F2"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21</w:t>
            </w:r>
            <w:r w:rsidR="00CD69A3" w:rsidRPr="001316B0">
              <w:rPr>
                <w:rFonts w:ascii="Arial" w:hAnsi="Arial" w:cs="Arial"/>
                <w:lang w:val="en-GB" w:eastAsia="pt-BR"/>
              </w:rPr>
              <w:t>.</w:t>
            </w:r>
            <w:r w:rsidR="009908EA" w:rsidRPr="001316B0">
              <w:rPr>
                <w:rFonts w:ascii="Arial" w:hAnsi="Arial" w:cs="Arial"/>
                <w:lang w:val="en-GB" w:eastAsia="pt-BR"/>
              </w:rPr>
              <w:t>3</w:t>
            </w:r>
          </w:p>
        </w:tc>
        <w:tc>
          <w:tcPr>
            <w:tcW w:w="851" w:type="dxa"/>
            <w:tcBorders>
              <w:top w:val="single" w:sz="6" w:space="0" w:color="auto"/>
              <w:left w:val="single" w:sz="6" w:space="0" w:color="auto"/>
              <w:bottom w:val="single" w:sz="6" w:space="0" w:color="auto"/>
              <w:right w:val="single" w:sz="6" w:space="0" w:color="auto"/>
            </w:tcBorders>
          </w:tcPr>
          <w:p w14:paraId="23C33E50"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5</w:t>
            </w:r>
            <w:r w:rsidR="009908EA" w:rsidRPr="001316B0">
              <w:rPr>
                <w:rFonts w:ascii="Arial" w:hAnsi="Arial" w:cs="Arial"/>
                <w:lang w:val="en-GB" w:eastAsia="pt-BR"/>
              </w:rPr>
              <w:t>5</w:t>
            </w:r>
            <w:r w:rsidR="00CD69A3" w:rsidRPr="001316B0">
              <w:rPr>
                <w:rFonts w:ascii="Arial" w:hAnsi="Arial" w:cs="Arial"/>
                <w:lang w:val="en-GB" w:eastAsia="pt-BR"/>
              </w:rPr>
              <w:t>.</w:t>
            </w:r>
            <w:r w:rsidR="009908EA" w:rsidRPr="001316B0">
              <w:rPr>
                <w:rFonts w:ascii="Arial" w:hAnsi="Arial" w:cs="Arial"/>
                <w:lang w:val="en-GB" w:eastAsia="pt-BR"/>
              </w:rPr>
              <w:t>5</w:t>
            </w:r>
          </w:p>
        </w:tc>
        <w:tc>
          <w:tcPr>
            <w:tcW w:w="992" w:type="dxa"/>
            <w:tcBorders>
              <w:top w:val="single" w:sz="6" w:space="0" w:color="auto"/>
              <w:left w:val="single" w:sz="6" w:space="0" w:color="auto"/>
              <w:bottom w:val="single" w:sz="6" w:space="0" w:color="auto"/>
              <w:right w:val="single" w:sz="6" w:space="0" w:color="auto"/>
            </w:tcBorders>
          </w:tcPr>
          <w:p w14:paraId="143A3BC9"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12</w:t>
            </w:r>
            <w:r w:rsidR="009908EA" w:rsidRPr="001316B0">
              <w:rPr>
                <w:rFonts w:ascii="Arial" w:hAnsi="Arial" w:cs="Arial"/>
                <w:lang w:val="en-GB" w:eastAsia="pt-BR"/>
              </w:rPr>
              <w:t>8</w:t>
            </w:r>
            <w:r w:rsidR="00CD69A3" w:rsidRPr="001316B0">
              <w:rPr>
                <w:rFonts w:ascii="Arial" w:hAnsi="Arial" w:cs="Arial"/>
                <w:lang w:val="en-GB" w:eastAsia="pt-BR"/>
              </w:rPr>
              <w:t>.</w:t>
            </w:r>
            <w:r w:rsidR="0064571F" w:rsidRPr="001316B0">
              <w:rPr>
                <w:rFonts w:ascii="Arial" w:hAnsi="Arial" w:cs="Arial"/>
                <w:lang w:val="en-GB" w:eastAsia="pt-BR"/>
              </w:rPr>
              <w:t>5</w:t>
            </w:r>
          </w:p>
        </w:tc>
        <w:tc>
          <w:tcPr>
            <w:tcW w:w="851" w:type="dxa"/>
            <w:tcBorders>
              <w:top w:val="single" w:sz="6" w:space="0" w:color="auto"/>
              <w:left w:val="single" w:sz="6" w:space="0" w:color="auto"/>
              <w:bottom w:val="single" w:sz="6" w:space="0" w:color="auto"/>
              <w:right w:val="single" w:sz="12" w:space="0" w:color="auto"/>
            </w:tcBorders>
          </w:tcPr>
          <w:p w14:paraId="191454C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5</w:t>
            </w:r>
            <w:r w:rsidR="0064571F" w:rsidRPr="001316B0">
              <w:rPr>
                <w:rFonts w:ascii="Arial" w:hAnsi="Arial" w:cs="Arial"/>
                <w:lang w:val="en-GB" w:eastAsia="pt-BR"/>
              </w:rPr>
              <w:t>2</w:t>
            </w:r>
            <w:r w:rsidR="00CD69A3" w:rsidRPr="001316B0">
              <w:rPr>
                <w:rFonts w:ascii="Arial" w:hAnsi="Arial" w:cs="Arial"/>
                <w:lang w:val="en-GB" w:eastAsia="pt-BR"/>
              </w:rPr>
              <w:t>.</w:t>
            </w:r>
            <w:r w:rsidR="0064571F" w:rsidRPr="001316B0">
              <w:rPr>
                <w:rFonts w:ascii="Arial" w:hAnsi="Arial" w:cs="Arial"/>
                <w:lang w:val="en-GB" w:eastAsia="pt-BR"/>
              </w:rPr>
              <w:t>7</w:t>
            </w:r>
          </w:p>
        </w:tc>
      </w:tr>
      <w:tr w:rsidR="00FC3075" w:rsidRPr="001316B0" w14:paraId="3AE9AA3F"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08880A7E" w14:textId="77777777" w:rsidR="008D5D0F" w:rsidRPr="001316B0" w:rsidRDefault="004B3715" w:rsidP="004B3715">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Hydroelectric and Hydraulic</w:t>
            </w:r>
          </w:p>
        </w:tc>
        <w:tc>
          <w:tcPr>
            <w:tcW w:w="851" w:type="dxa"/>
            <w:tcBorders>
              <w:top w:val="single" w:sz="6" w:space="0" w:color="auto"/>
              <w:left w:val="single" w:sz="6" w:space="0" w:color="auto"/>
              <w:bottom w:val="single" w:sz="6" w:space="0" w:color="auto"/>
              <w:right w:val="single" w:sz="6" w:space="0" w:color="auto"/>
            </w:tcBorders>
          </w:tcPr>
          <w:p w14:paraId="66073F3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w:t>
            </w:r>
            <w:r w:rsidR="00CD69A3" w:rsidRPr="001316B0">
              <w:rPr>
                <w:rFonts w:ascii="Arial" w:hAnsi="Arial" w:cs="Arial"/>
                <w:lang w:val="en-GB" w:eastAsia="pt-BR"/>
              </w:rPr>
              <w:t>.</w:t>
            </w:r>
            <w:r w:rsidRPr="001316B0">
              <w:rPr>
                <w:rFonts w:ascii="Arial" w:hAnsi="Arial" w:cs="Arial"/>
                <w:lang w:val="en-GB" w:eastAsia="pt-BR"/>
              </w:rPr>
              <w:t>0</w:t>
            </w:r>
          </w:p>
        </w:tc>
        <w:tc>
          <w:tcPr>
            <w:tcW w:w="850" w:type="dxa"/>
            <w:tcBorders>
              <w:top w:val="single" w:sz="6" w:space="0" w:color="auto"/>
              <w:left w:val="single" w:sz="6" w:space="0" w:color="auto"/>
              <w:bottom w:val="single" w:sz="6" w:space="0" w:color="auto"/>
              <w:right w:val="single" w:sz="6" w:space="0" w:color="auto"/>
            </w:tcBorders>
          </w:tcPr>
          <w:p w14:paraId="3F10163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14</w:t>
            </w:r>
            <w:r w:rsidR="00CD69A3" w:rsidRPr="001316B0">
              <w:rPr>
                <w:rFonts w:ascii="Arial" w:hAnsi="Arial" w:cs="Arial"/>
                <w:lang w:val="en-GB" w:eastAsia="pt-BR"/>
              </w:rPr>
              <w:t>.</w:t>
            </w:r>
            <w:r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67310688"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30</w:t>
            </w:r>
            <w:r w:rsidR="00CD69A3" w:rsidRPr="001316B0">
              <w:rPr>
                <w:rFonts w:ascii="Arial" w:hAnsi="Arial" w:cs="Arial"/>
                <w:lang w:val="en-GB" w:eastAsia="pt-BR"/>
              </w:rPr>
              <w:t>.</w:t>
            </w:r>
            <w:r w:rsidRPr="001316B0">
              <w:rPr>
                <w:rFonts w:ascii="Arial" w:hAnsi="Arial" w:cs="Arial"/>
                <w:lang w:val="en-GB" w:eastAsia="pt-BR"/>
              </w:rPr>
              <w:t>0</w:t>
            </w:r>
          </w:p>
        </w:tc>
        <w:tc>
          <w:tcPr>
            <w:tcW w:w="851" w:type="dxa"/>
            <w:tcBorders>
              <w:top w:val="single" w:sz="6" w:space="0" w:color="auto"/>
              <w:left w:val="single" w:sz="6" w:space="0" w:color="auto"/>
              <w:bottom w:val="single" w:sz="6" w:space="0" w:color="auto"/>
              <w:right w:val="single" w:sz="6" w:space="0" w:color="auto"/>
            </w:tcBorders>
          </w:tcPr>
          <w:p w14:paraId="5ED4855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15</w:t>
            </w:r>
            <w:r w:rsidR="00CD69A3" w:rsidRPr="001316B0">
              <w:rPr>
                <w:rFonts w:ascii="Arial" w:hAnsi="Arial" w:cs="Arial"/>
                <w:lang w:val="en-GB" w:eastAsia="pt-BR"/>
              </w:rPr>
              <w:t>.</w:t>
            </w:r>
            <w:r w:rsidR="009908EA" w:rsidRPr="001316B0">
              <w:rPr>
                <w:rFonts w:ascii="Arial" w:hAnsi="Arial" w:cs="Arial"/>
                <w:lang w:val="en-GB" w:eastAsia="pt-BR"/>
              </w:rPr>
              <w:t>7</w:t>
            </w:r>
          </w:p>
        </w:tc>
        <w:tc>
          <w:tcPr>
            <w:tcW w:w="992" w:type="dxa"/>
            <w:tcBorders>
              <w:top w:val="single" w:sz="6" w:space="0" w:color="auto"/>
              <w:left w:val="single" w:sz="6" w:space="0" w:color="auto"/>
              <w:bottom w:val="single" w:sz="6" w:space="0" w:color="auto"/>
              <w:right w:val="single" w:sz="6" w:space="0" w:color="auto"/>
            </w:tcBorders>
          </w:tcPr>
          <w:p w14:paraId="1A0C5710"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w:t>
            </w:r>
            <w:r w:rsidR="009908EA" w:rsidRPr="001316B0">
              <w:rPr>
                <w:rFonts w:ascii="Arial" w:hAnsi="Arial" w:cs="Arial"/>
                <w:lang w:val="en-GB" w:eastAsia="pt-BR"/>
              </w:rPr>
              <w:t>2</w:t>
            </w:r>
            <w:r w:rsidR="00CD69A3" w:rsidRPr="001316B0">
              <w:rPr>
                <w:rFonts w:ascii="Arial" w:hAnsi="Arial" w:cs="Arial"/>
                <w:lang w:val="en-GB" w:eastAsia="pt-BR"/>
              </w:rPr>
              <w:t>.</w:t>
            </w:r>
            <w:r w:rsidR="009908EA" w:rsidRPr="001316B0">
              <w:rPr>
                <w:rFonts w:ascii="Arial" w:hAnsi="Arial" w:cs="Arial"/>
                <w:lang w:val="en-GB" w:eastAsia="pt-BR"/>
              </w:rPr>
              <w:t>4</w:t>
            </w:r>
          </w:p>
        </w:tc>
        <w:tc>
          <w:tcPr>
            <w:tcW w:w="851" w:type="dxa"/>
            <w:tcBorders>
              <w:top w:val="single" w:sz="6" w:space="0" w:color="auto"/>
              <w:left w:val="single" w:sz="6" w:space="0" w:color="auto"/>
              <w:bottom w:val="single" w:sz="6" w:space="0" w:color="auto"/>
              <w:right w:val="single" w:sz="6" w:space="0" w:color="auto"/>
            </w:tcBorders>
          </w:tcPr>
          <w:p w14:paraId="6674CF56"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4</w:t>
            </w:r>
            <w:r w:rsidR="00CD69A3" w:rsidRPr="001316B0">
              <w:rPr>
                <w:rFonts w:ascii="Arial" w:hAnsi="Arial" w:cs="Arial"/>
                <w:lang w:val="en-GB" w:eastAsia="pt-BR"/>
              </w:rPr>
              <w:t>.</w:t>
            </w:r>
            <w:r w:rsidR="009908EA" w:rsidRPr="001316B0">
              <w:rPr>
                <w:rFonts w:ascii="Arial" w:hAnsi="Arial" w:cs="Arial"/>
                <w:lang w:val="en-GB" w:eastAsia="pt-BR"/>
              </w:rPr>
              <w:t>8</w:t>
            </w:r>
          </w:p>
        </w:tc>
        <w:tc>
          <w:tcPr>
            <w:tcW w:w="992" w:type="dxa"/>
            <w:tcBorders>
              <w:top w:val="single" w:sz="6" w:space="0" w:color="auto"/>
              <w:left w:val="single" w:sz="6" w:space="0" w:color="auto"/>
              <w:bottom w:val="single" w:sz="6" w:space="0" w:color="auto"/>
              <w:right w:val="single" w:sz="6" w:space="0" w:color="auto"/>
            </w:tcBorders>
          </w:tcPr>
          <w:p w14:paraId="2A42FDDF"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w:t>
            </w:r>
            <w:r w:rsidR="009908EA" w:rsidRPr="001316B0">
              <w:rPr>
                <w:rFonts w:ascii="Arial" w:hAnsi="Arial" w:cs="Arial"/>
                <w:lang w:val="en-GB" w:eastAsia="pt-BR"/>
              </w:rPr>
              <w:t>7</w:t>
            </w:r>
            <w:r w:rsidR="00CD69A3" w:rsidRPr="001316B0">
              <w:rPr>
                <w:rFonts w:ascii="Arial" w:hAnsi="Arial" w:cs="Arial"/>
                <w:lang w:val="en-GB" w:eastAsia="pt-BR"/>
              </w:rPr>
              <w:t>.</w:t>
            </w:r>
            <w:r w:rsidR="009908EA" w:rsidRPr="001316B0">
              <w:rPr>
                <w:rFonts w:ascii="Arial" w:hAnsi="Arial" w:cs="Arial"/>
                <w:lang w:val="en-GB" w:eastAsia="pt-BR"/>
              </w:rPr>
              <w:t>1</w:t>
            </w:r>
          </w:p>
        </w:tc>
        <w:tc>
          <w:tcPr>
            <w:tcW w:w="851" w:type="dxa"/>
            <w:tcBorders>
              <w:top w:val="single" w:sz="6" w:space="0" w:color="auto"/>
              <w:left w:val="single" w:sz="6" w:space="0" w:color="auto"/>
              <w:bottom w:val="single" w:sz="6" w:space="0" w:color="auto"/>
              <w:right w:val="single" w:sz="12" w:space="0" w:color="auto"/>
            </w:tcBorders>
          </w:tcPr>
          <w:p w14:paraId="67120F8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64571F" w:rsidRPr="001316B0">
              <w:rPr>
                <w:rFonts w:ascii="Arial" w:hAnsi="Arial" w:cs="Arial"/>
                <w:lang w:val="en-GB" w:eastAsia="pt-BR"/>
              </w:rPr>
              <w:t>5</w:t>
            </w:r>
            <w:r w:rsidR="00CD69A3" w:rsidRPr="001316B0">
              <w:rPr>
                <w:rFonts w:ascii="Arial" w:hAnsi="Arial" w:cs="Arial"/>
                <w:lang w:val="en-GB" w:eastAsia="pt-BR"/>
              </w:rPr>
              <w:t>.</w:t>
            </w:r>
            <w:r w:rsidR="0064571F" w:rsidRPr="001316B0">
              <w:rPr>
                <w:rFonts w:ascii="Arial" w:hAnsi="Arial" w:cs="Arial"/>
                <w:lang w:val="en-GB" w:eastAsia="pt-BR"/>
              </w:rPr>
              <w:t>2</w:t>
            </w:r>
          </w:p>
        </w:tc>
      </w:tr>
      <w:tr w:rsidR="00FC3075" w:rsidRPr="001316B0" w14:paraId="722494BC"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3134F952" w14:textId="77777777" w:rsidR="008D5D0F" w:rsidRPr="001316B0" w:rsidRDefault="00FC3075" w:rsidP="00FC3075">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Firewood and Vegetable Coal</w:t>
            </w:r>
          </w:p>
        </w:tc>
        <w:tc>
          <w:tcPr>
            <w:tcW w:w="851" w:type="dxa"/>
            <w:tcBorders>
              <w:top w:val="single" w:sz="6" w:space="0" w:color="auto"/>
              <w:left w:val="single" w:sz="6" w:space="0" w:color="auto"/>
              <w:bottom w:val="single" w:sz="6" w:space="0" w:color="auto"/>
              <w:right w:val="single" w:sz="6" w:space="0" w:color="auto"/>
            </w:tcBorders>
          </w:tcPr>
          <w:p w14:paraId="584D8EBD"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28</w:t>
            </w:r>
            <w:r w:rsidR="00CD69A3" w:rsidRPr="001316B0">
              <w:rPr>
                <w:rFonts w:ascii="Arial" w:hAnsi="Arial" w:cs="Arial"/>
                <w:lang w:val="en-GB" w:eastAsia="pt-BR"/>
              </w:rPr>
              <w:t>.</w:t>
            </w:r>
            <w:r w:rsidRPr="001316B0">
              <w:rPr>
                <w:rFonts w:ascii="Arial" w:hAnsi="Arial" w:cs="Arial"/>
                <w:lang w:val="en-GB" w:eastAsia="pt-BR"/>
              </w:rPr>
              <w:t>5</w:t>
            </w:r>
          </w:p>
        </w:tc>
        <w:tc>
          <w:tcPr>
            <w:tcW w:w="850" w:type="dxa"/>
            <w:tcBorders>
              <w:top w:val="single" w:sz="6" w:space="0" w:color="auto"/>
              <w:left w:val="single" w:sz="6" w:space="0" w:color="auto"/>
              <w:bottom w:val="single" w:sz="6" w:space="0" w:color="auto"/>
              <w:right w:val="single" w:sz="6" w:space="0" w:color="auto"/>
            </w:tcBorders>
          </w:tcPr>
          <w:p w14:paraId="3269BB3B"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w:t>
            </w:r>
            <w:r w:rsidR="00CD69A3" w:rsidRPr="001316B0">
              <w:rPr>
                <w:rFonts w:ascii="Arial" w:hAnsi="Arial" w:cs="Arial"/>
                <w:lang w:val="en-GB" w:eastAsia="pt-BR"/>
              </w:rPr>
              <w:t>.</w:t>
            </w:r>
            <w:r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1D40A6B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9908EA" w:rsidRPr="001316B0">
              <w:rPr>
                <w:rFonts w:ascii="Arial" w:hAnsi="Arial" w:cs="Arial"/>
                <w:lang w:val="en-GB" w:eastAsia="pt-BR"/>
              </w:rPr>
              <w:t>3</w:t>
            </w:r>
            <w:r w:rsidR="00CD69A3" w:rsidRPr="001316B0">
              <w:rPr>
                <w:rFonts w:ascii="Arial" w:hAnsi="Arial" w:cs="Arial"/>
                <w:lang w:val="en-GB" w:eastAsia="pt-BR"/>
              </w:rPr>
              <w:t>.</w:t>
            </w:r>
            <w:r w:rsidR="009908EA" w:rsidRPr="001316B0">
              <w:rPr>
                <w:rFonts w:ascii="Arial" w:hAnsi="Arial" w:cs="Arial"/>
                <w:lang w:val="en-GB" w:eastAsia="pt-BR"/>
              </w:rPr>
              <w:t>0</w:t>
            </w:r>
          </w:p>
        </w:tc>
        <w:tc>
          <w:tcPr>
            <w:tcW w:w="851" w:type="dxa"/>
            <w:tcBorders>
              <w:top w:val="single" w:sz="6" w:space="0" w:color="auto"/>
              <w:left w:val="single" w:sz="6" w:space="0" w:color="auto"/>
              <w:bottom w:val="single" w:sz="6" w:space="0" w:color="auto"/>
              <w:right w:val="single" w:sz="6" w:space="0" w:color="auto"/>
            </w:tcBorders>
          </w:tcPr>
          <w:p w14:paraId="5448A3FB"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2</w:t>
            </w:r>
            <w:r w:rsidR="00CD69A3" w:rsidRPr="001316B0">
              <w:rPr>
                <w:rFonts w:ascii="Arial" w:hAnsi="Arial" w:cs="Arial"/>
                <w:lang w:val="en-GB" w:eastAsia="pt-BR"/>
              </w:rPr>
              <w:t>.</w:t>
            </w:r>
            <w:r w:rsidR="009908EA"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01C7A470"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9908EA" w:rsidRPr="001316B0">
              <w:rPr>
                <w:rFonts w:ascii="Arial" w:hAnsi="Arial" w:cs="Arial"/>
                <w:lang w:val="en-GB" w:eastAsia="pt-BR"/>
              </w:rPr>
              <w:t>8</w:t>
            </w:r>
            <w:r w:rsidR="00CD69A3" w:rsidRPr="001316B0">
              <w:rPr>
                <w:rFonts w:ascii="Arial" w:hAnsi="Arial" w:cs="Arial"/>
                <w:lang w:val="en-GB" w:eastAsia="pt-BR"/>
              </w:rPr>
              <w:t>.</w:t>
            </w:r>
            <w:r w:rsidR="009908EA" w:rsidRPr="001316B0">
              <w:rPr>
                <w:rFonts w:ascii="Arial" w:hAnsi="Arial" w:cs="Arial"/>
                <w:lang w:val="en-GB" w:eastAsia="pt-BR"/>
              </w:rPr>
              <w:t>5</w:t>
            </w:r>
          </w:p>
        </w:tc>
        <w:tc>
          <w:tcPr>
            <w:tcW w:w="851" w:type="dxa"/>
            <w:tcBorders>
              <w:top w:val="single" w:sz="6" w:space="0" w:color="auto"/>
              <w:left w:val="single" w:sz="6" w:space="0" w:color="auto"/>
              <w:bottom w:val="single" w:sz="6" w:space="0" w:color="auto"/>
              <w:right w:val="single" w:sz="6" w:space="0" w:color="auto"/>
            </w:tcBorders>
          </w:tcPr>
          <w:p w14:paraId="62FBFE67"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3</w:t>
            </w:r>
            <w:r w:rsidR="00CD69A3" w:rsidRPr="001316B0">
              <w:rPr>
                <w:rFonts w:ascii="Arial" w:hAnsi="Arial" w:cs="Arial"/>
                <w:lang w:val="en-GB" w:eastAsia="pt-BR"/>
              </w:rPr>
              <w:t>.</w:t>
            </w:r>
            <w:r w:rsidR="009908EA" w:rsidRPr="001316B0">
              <w:rPr>
                <w:rFonts w:ascii="Arial" w:hAnsi="Arial" w:cs="Arial"/>
                <w:lang w:val="en-GB" w:eastAsia="pt-BR"/>
              </w:rPr>
              <w:t>0</w:t>
            </w:r>
          </w:p>
        </w:tc>
        <w:tc>
          <w:tcPr>
            <w:tcW w:w="992" w:type="dxa"/>
            <w:tcBorders>
              <w:top w:val="single" w:sz="6" w:space="0" w:color="auto"/>
              <w:left w:val="single" w:sz="6" w:space="0" w:color="auto"/>
              <w:bottom w:val="single" w:sz="6" w:space="0" w:color="auto"/>
              <w:right w:val="single" w:sz="6" w:space="0" w:color="auto"/>
            </w:tcBorders>
          </w:tcPr>
          <w:p w14:paraId="785BAB9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9908EA" w:rsidRPr="001316B0">
              <w:rPr>
                <w:rFonts w:ascii="Arial" w:hAnsi="Arial" w:cs="Arial"/>
                <w:lang w:val="en-GB" w:eastAsia="pt-BR"/>
              </w:rPr>
              <w:t>4</w:t>
            </w:r>
            <w:r w:rsidR="00CD69A3" w:rsidRPr="001316B0">
              <w:rPr>
                <w:rFonts w:ascii="Arial" w:hAnsi="Arial" w:cs="Arial"/>
                <w:lang w:val="en-GB" w:eastAsia="pt-BR"/>
              </w:rPr>
              <w:t>.</w:t>
            </w:r>
            <w:r w:rsidR="009908EA" w:rsidRPr="001316B0">
              <w:rPr>
                <w:rFonts w:ascii="Arial" w:hAnsi="Arial" w:cs="Arial"/>
                <w:lang w:val="en-GB" w:eastAsia="pt-BR"/>
              </w:rPr>
              <w:t>6</w:t>
            </w:r>
          </w:p>
        </w:tc>
        <w:tc>
          <w:tcPr>
            <w:tcW w:w="851" w:type="dxa"/>
            <w:tcBorders>
              <w:top w:val="single" w:sz="6" w:space="0" w:color="auto"/>
              <w:left w:val="single" w:sz="6" w:space="0" w:color="auto"/>
              <w:bottom w:val="single" w:sz="6" w:space="0" w:color="auto"/>
              <w:right w:val="single" w:sz="12" w:space="0" w:color="auto"/>
            </w:tcBorders>
          </w:tcPr>
          <w:p w14:paraId="6FD24EC3"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64571F" w:rsidRPr="001316B0">
              <w:rPr>
                <w:rFonts w:ascii="Arial" w:hAnsi="Arial" w:cs="Arial"/>
                <w:lang w:val="en-GB" w:eastAsia="pt-BR"/>
              </w:rPr>
              <w:t>0</w:t>
            </w:r>
            <w:r w:rsidR="00CD69A3" w:rsidRPr="001316B0">
              <w:rPr>
                <w:rFonts w:ascii="Arial" w:hAnsi="Arial" w:cs="Arial"/>
                <w:lang w:val="en-GB" w:eastAsia="pt-BR"/>
              </w:rPr>
              <w:t>.</w:t>
            </w:r>
            <w:r w:rsidR="0064571F" w:rsidRPr="001316B0">
              <w:rPr>
                <w:rFonts w:ascii="Arial" w:hAnsi="Arial" w:cs="Arial"/>
                <w:lang w:val="en-GB" w:eastAsia="pt-BR"/>
              </w:rPr>
              <w:t>1</w:t>
            </w:r>
          </w:p>
        </w:tc>
      </w:tr>
      <w:tr w:rsidR="00FC3075" w:rsidRPr="001316B0" w14:paraId="45F32228"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006AE0EB" w14:textId="77777777" w:rsidR="008D5D0F" w:rsidRPr="001316B0" w:rsidRDefault="00FC3075" w:rsidP="00FC3075">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Sugarcane</w:t>
            </w:r>
            <w:r w:rsidRPr="001316B0">
              <w:rPr>
                <w:rFonts w:ascii="Arial" w:hAnsi="Arial" w:cs="Arial"/>
                <w:lang w:val="en-GB" w:eastAsia="pt-BR"/>
              </w:rPr>
              <w:br/>
              <w:t>By-products</w:t>
            </w:r>
          </w:p>
        </w:tc>
        <w:tc>
          <w:tcPr>
            <w:tcW w:w="851" w:type="dxa"/>
            <w:tcBorders>
              <w:top w:val="single" w:sz="6" w:space="0" w:color="auto"/>
              <w:left w:val="single" w:sz="6" w:space="0" w:color="auto"/>
              <w:bottom w:val="single" w:sz="6" w:space="0" w:color="auto"/>
              <w:right w:val="single" w:sz="6" w:space="0" w:color="auto"/>
            </w:tcBorders>
          </w:tcPr>
          <w:p w14:paraId="1F434B26"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18</w:t>
            </w:r>
            <w:r w:rsidR="00CD69A3" w:rsidRPr="001316B0">
              <w:rPr>
                <w:rFonts w:ascii="Arial" w:hAnsi="Arial" w:cs="Arial"/>
                <w:lang w:val="en-GB" w:eastAsia="pt-BR"/>
              </w:rPr>
              <w:t>.</w:t>
            </w:r>
            <w:r w:rsidRPr="001316B0">
              <w:rPr>
                <w:rFonts w:ascii="Arial" w:hAnsi="Arial" w:cs="Arial"/>
                <w:lang w:val="en-GB" w:eastAsia="pt-BR"/>
              </w:rPr>
              <w:t>9</w:t>
            </w:r>
          </w:p>
        </w:tc>
        <w:tc>
          <w:tcPr>
            <w:tcW w:w="850" w:type="dxa"/>
            <w:tcBorders>
              <w:top w:val="single" w:sz="6" w:space="0" w:color="auto"/>
              <w:left w:val="single" w:sz="6" w:space="0" w:color="auto"/>
              <w:bottom w:val="single" w:sz="6" w:space="0" w:color="auto"/>
              <w:right w:val="single" w:sz="6" w:space="0" w:color="auto"/>
            </w:tcBorders>
          </w:tcPr>
          <w:p w14:paraId="73A6B7FC"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13</w:t>
            </w:r>
            <w:r w:rsidR="00CD69A3" w:rsidRPr="001316B0">
              <w:rPr>
                <w:rFonts w:ascii="Arial" w:hAnsi="Arial" w:cs="Arial"/>
                <w:lang w:val="en-GB" w:eastAsia="pt-BR"/>
              </w:rPr>
              <w:t>.</w:t>
            </w:r>
            <w:r w:rsidRPr="001316B0">
              <w:rPr>
                <w:rFonts w:ascii="Arial" w:hAnsi="Arial" w:cs="Arial"/>
                <w:lang w:val="en-GB" w:eastAsia="pt-BR"/>
              </w:rPr>
              <w:t>4</w:t>
            </w:r>
          </w:p>
        </w:tc>
        <w:tc>
          <w:tcPr>
            <w:tcW w:w="992" w:type="dxa"/>
            <w:tcBorders>
              <w:top w:val="single" w:sz="6" w:space="0" w:color="auto"/>
              <w:left w:val="single" w:sz="6" w:space="0" w:color="auto"/>
              <w:bottom w:val="single" w:sz="6" w:space="0" w:color="auto"/>
              <w:right w:val="single" w:sz="6" w:space="0" w:color="auto"/>
            </w:tcBorders>
          </w:tcPr>
          <w:p w14:paraId="5DED3951"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20</w:t>
            </w:r>
            <w:r w:rsidR="00CD69A3" w:rsidRPr="001316B0">
              <w:rPr>
                <w:rFonts w:ascii="Arial" w:hAnsi="Arial" w:cs="Arial"/>
                <w:lang w:val="en-GB" w:eastAsia="pt-BR"/>
              </w:rPr>
              <w:t>.</w:t>
            </w:r>
            <w:r w:rsidR="008D5D0F" w:rsidRPr="001316B0">
              <w:rPr>
                <w:rFonts w:ascii="Arial" w:hAnsi="Arial" w:cs="Arial"/>
                <w:lang w:val="en-GB" w:eastAsia="pt-BR"/>
              </w:rPr>
              <w:t>8</w:t>
            </w:r>
          </w:p>
        </w:tc>
        <w:tc>
          <w:tcPr>
            <w:tcW w:w="851" w:type="dxa"/>
            <w:tcBorders>
              <w:top w:val="single" w:sz="6" w:space="0" w:color="auto"/>
              <w:left w:val="single" w:sz="6" w:space="0" w:color="auto"/>
              <w:bottom w:val="single" w:sz="6" w:space="0" w:color="auto"/>
              <w:right w:val="single" w:sz="6" w:space="0" w:color="auto"/>
            </w:tcBorders>
          </w:tcPr>
          <w:p w14:paraId="70BCB6E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0</w:t>
            </w:r>
            <w:r w:rsidR="00CD69A3" w:rsidRPr="001316B0">
              <w:rPr>
                <w:rFonts w:ascii="Arial" w:hAnsi="Arial" w:cs="Arial"/>
                <w:lang w:val="en-GB" w:eastAsia="pt-BR"/>
              </w:rPr>
              <w:t>.</w:t>
            </w:r>
            <w:r w:rsidR="009908EA" w:rsidRPr="001316B0">
              <w:rPr>
                <w:rFonts w:ascii="Arial" w:hAnsi="Arial" w:cs="Arial"/>
                <w:lang w:val="en-GB" w:eastAsia="pt-BR"/>
              </w:rPr>
              <w:t>9</w:t>
            </w:r>
          </w:p>
        </w:tc>
        <w:tc>
          <w:tcPr>
            <w:tcW w:w="992" w:type="dxa"/>
            <w:tcBorders>
              <w:top w:val="single" w:sz="6" w:space="0" w:color="auto"/>
              <w:left w:val="single" w:sz="6" w:space="0" w:color="auto"/>
              <w:bottom w:val="single" w:sz="6" w:space="0" w:color="auto"/>
              <w:right w:val="single" w:sz="6" w:space="0" w:color="auto"/>
            </w:tcBorders>
          </w:tcPr>
          <w:p w14:paraId="12C1E45C"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30</w:t>
            </w:r>
            <w:r w:rsidR="00CD69A3" w:rsidRPr="001316B0">
              <w:rPr>
                <w:rFonts w:ascii="Arial" w:hAnsi="Arial" w:cs="Arial"/>
                <w:lang w:val="en-GB" w:eastAsia="pt-BR"/>
              </w:rPr>
              <w:t>.</w:t>
            </w:r>
            <w:r w:rsidRPr="001316B0">
              <w:rPr>
                <w:rFonts w:ascii="Arial" w:hAnsi="Arial" w:cs="Arial"/>
                <w:lang w:val="en-GB" w:eastAsia="pt-BR"/>
              </w:rPr>
              <w:t>1</w:t>
            </w:r>
          </w:p>
        </w:tc>
        <w:tc>
          <w:tcPr>
            <w:tcW w:w="851" w:type="dxa"/>
            <w:tcBorders>
              <w:top w:val="single" w:sz="6" w:space="0" w:color="auto"/>
              <w:left w:val="single" w:sz="6" w:space="0" w:color="auto"/>
              <w:bottom w:val="single" w:sz="6" w:space="0" w:color="auto"/>
              <w:right w:val="single" w:sz="6" w:space="0" w:color="auto"/>
            </w:tcBorders>
          </w:tcPr>
          <w:p w14:paraId="33625D7D"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3</w:t>
            </w:r>
            <w:r w:rsidR="00CD69A3" w:rsidRPr="001316B0">
              <w:rPr>
                <w:rFonts w:ascii="Arial" w:hAnsi="Arial" w:cs="Arial"/>
                <w:lang w:val="en-GB" w:eastAsia="pt-BR"/>
              </w:rPr>
              <w:t>.</w:t>
            </w:r>
            <w:r w:rsidR="009908EA" w:rsidRPr="001316B0">
              <w:rPr>
                <w:rFonts w:ascii="Arial" w:hAnsi="Arial" w:cs="Arial"/>
                <w:lang w:val="en-GB" w:eastAsia="pt-BR"/>
              </w:rPr>
              <w:t>8</w:t>
            </w:r>
          </w:p>
        </w:tc>
        <w:tc>
          <w:tcPr>
            <w:tcW w:w="992" w:type="dxa"/>
            <w:tcBorders>
              <w:top w:val="single" w:sz="6" w:space="0" w:color="auto"/>
              <w:left w:val="single" w:sz="6" w:space="0" w:color="auto"/>
              <w:bottom w:val="single" w:sz="6" w:space="0" w:color="auto"/>
              <w:right w:val="single" w:sz="6" w:space="0" w:color="auto"/>
            </w:tcBorders>
          </w:tcPr>
          <w:p w14:paraId="5FA94380"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44</w:t>
            </w:r>
            <w:r w:rsidR="00CD69A3" w:rsidRPr="001316B0">
              <w:rPr>
                <w:rFonts w:ascii="Arial" w:hAnsi="Arial" w:cs="Arial"/>
                <w:lang w:val="en-GB" w:eastAsia="pt-BR"/>
              </w:rPr>
              <w:t>.</w:t>
            </w:r>
            <w:r w:rsidRPr="001316B0">
              <w:rPr>
                <w:rFonts w:ascii="Arial" w:hAnsi="Arial" w:cs="Arial"/>
                <w:lang w:val="en-GB" w:eastAsia="pt-BR"/>
              </w:rPr>
              <w:t>4</w:t>
            </w:r>
          </w:p>
        </w:tc>
        <w:tc>
          <w:tcPr>
            <w:tcW w:w="851" w:type="dxa"/>
            <w:tcBorders>
              <w:top w:val="single" w:sz="6" w:space="0" w:color="auto"/>
              <w:left w:val="single" w:sz="6" w:space="0" w:color="auto"/>
              <w:bottom w:val="single" w:sz="6" w:space="0" w:color="auto"/>
              <w:right w:val="single" w:sz="12" w:space="0" w:color="auto"/>
            </w:tcBorders>
          </w:tcPr>
          <w:p w14:paraId="7B8F5D16"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64571F" w:rsidRPr="001316B0">
              <w:rPr>
                <w:rFonts w:ascii="Arial" w:hAnsi="Arial" w:cs="Arial"/>
                <w:lang w:val="en-GB" w:eastAsia="pt-BR"/>
              </w:rPr>
              <w:t>8</w:t>
            </w:r>
            <w:r w:rsidR="00CD69A3" w:rsidRPr="001316B0">
              <w:rPr>
                <w:rFonts w:ascii="Arial" w:hAnsi="Arial" w:cs="Arial"/>
                <w:lang w:val="en-GB" w:eastAsia="pt-BR"/>
              </w:rPr>
              <w:t>.</w:t>
            </w:r>
            <w:r w:rsidR="0064571F" w:rsidRPr="001316B0">
              <w:rPr>
                <w:rFonts w:ascii="Arial" w:hAnsi="Arial" w:cs="Arial"/>
                <w:lang w:val="en-GB" w:eastAsia="pt-BR"/>
              </w:rPr>
              <w:t>2</w:t>
            </w:r>
          </w:p>
        </w:tc>
      </w:tr>
      <w:tr w:rsidR="00FC3075" w:rsidRPr="001316B0" w14:paraId="227C4FA6"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1B723A77" w14:textId="77777777" w:rsidR="008D5D0F" w:rsidRPr="001316B0" w:rsidRDefault="00FC3075" w:rsidP="00FC3075">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lastRenderedPageBreak/>
              <w:t>Other renewable</w:t>
            </w:r>
          </w:p>
        </w:tc>
        <w:tc>
          <w:tcPr>
            <w:tcW w:w="851" w:type="dxa"/>
            <w:tcBorders>
              <w:top w:val="single" w:sz="6" w:space="0" w:color="auto"/>
              <w:left w:val="single" w:sz="6" w:space="0" w:color="auto"/>
              <w:bottom w:val="single" w:sz="6" w:space="0" w:color="auto"/>
              <w:right w:val="single" w:sz="6" w:space="0" w:color="auto"/>
            </w:tcBorders>
          </w:tcPr>
          <w:p w14:paraId="0839AA3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CD69A3" w:rsidRPr="001316B0">
              <w:rPr>
                <w:rFonts w:ascii="Arial" w:hAnsi="Arial" w:cs="Arial"/>
                <w:lang w:val="en-GB" w:eastAsia="pt-BR"/>
              </w:rPr>
              <w:t>.</w:t>
            </w:r>
            <w:r w:rsidRPr="001316B0">
              <w:rPr>
                <w:rFonts w:ascii="Arial" w:hAnsi="Arial" w:cs="Arial"/>
                <w:lang w:val="en-GB" w:eastAsia="pt-BR"/>
              </w:rPr>
              <w:t>1</w:t>
            </w:r>
          </w:p>
        </w:tc>
        <w:tc>
          <w:tcPr>
            <w:tcW w:w="850" w:type="dxa"/>
            <w:tcBorders>
              <w:top w:val="single" w:sz="6" w:space="0" w:color="auto"/>
              <w:left w:val="single" w:sz="6" w:space="0" w:color="auto"/>
              <w:bottom w:val="single" w:sz="6" w:space="0" w:color="auto"/>
              <w:right w:val="single" w:sz="6" w:space="0" w:color="auto"/>
            </w:tcBorders>
          </w:tcPr>
          <w:p w14:paraId="2743E8A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CD69A3" w:rsidRPr="001316B0">
              <w:rPr>
                <w:rFonts w:ascii="Arial" w:hAnsi="Arial" w:cs="Arial"/>
                <w:lang w:val="en-GB" w:eastAsia="pt-BR"/>
              </w:rPr>
              <w:t>.</w:t>
            </w:r>
            <w:r w:rsidRPr="001316B0">
              <w:rPr>
                <w:rFonts w:ascii="Arial" w:hAnsi="Arial" w:cs="Arial"/>
                <w:lang w:val="en-GB" w:eastAsia="pt-BR"/>
              </w:rPr>
              <w:t>5</w:t>
            </w:r>
          </w:p>
        </w:tc>
        <w:tc>
          <w:tcPr>
            <w:tcW w:w="992" w:type="dxa"/>
            <w:tcBorders>
              <w:top w:val="single" w:sz="6" w:space="0" w:color="auto"/>
              <w:left w:val="single" w:sz="6" w:space="0" w:color="auto"/>
              <w:bottom w:val="single" w:sz="6" w:space="0" w:color="auto"/>
              <w:right w:val="single" w:sz="6" w:space="0" w:color="auto"/>
            </w:tcBorders>
          </w:tcPr>
          <w:p w14:paraId="7341455A"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CD69A3" w:rsidRPr="001316B0">
              <w:rPr>
                <w:rFonts w:ascii="Arial" w:hAnsi="Arial" w:cs="Arial"/>
                <w:lang w:val="en-GB" w:eastAsia="pt-BR"/>
              </w:rPr>
              <w:t>.</w:t>
            </w:r>
            <w:r w:rsidRPr="001316B0">
              <w:rPr>
                <w:rFonts w:ascii="Arial" w:hAnsi="Arial" w:cs="Arial"/>
                <w:lang w:val="en-GB" w:eastAsia="pt-BR"/>
              </w:rPr>
              <w:t>4</w:t>
            </w:r>
          </w:p>
        </w:tc>
        <w:tc>
          <w:tcPr>
            <w:tcW w:w="851" w:type="dxa"/>
            <w:tcBorders>
              <w:top w:val="single" w:sz="6" w:space="0" w:color="auto"/>
              <w:left w:val="single" w:sz="6" w:space="0" w:color="auto"/>
              <w:bottom w:val="single" w:sz="6" w:space="0" w:color="auto"/>
              <w:right w:val="single" w:sz="6" w:space="0" w:color="auto"/>
            </w:tcBorders>
          </w:tcPr>
          <w:p w14:paraId="2A0E831C"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CD69A3" w:rsidRPr="001316B0">
              <w:rPr>
                <w:rFonts w:ascii="Arial" w:hAnsi="Arial" w:cs="Arial"/>
                <w:lang w:val="en-GB" w:eastAsia="pt-BR"/>
              </w:rPr>
              <w:t>.</w:t>
            </w:r>
            <w:r w:rsidRPr="001316B0">
              <w:rPr>
                <w:rFonts w:ascii="Arial" w:hAnsi="Arial" w:cs="Arial"/>
                <w:lang w:val="en-GB" w:eastAsia="pt-BR"/>
              </w:rPr>
              <w:t>3</w:t>
            </w:r>
          </w:p>
        </w:tc>
        <w:tc>
          <w:tcPr>
            <w:tcW w:w="992" w:type="dxa"/>
            <w:tcBorders>
              <w:top w:val="single" w:sz="6" w:space="0" w:color="auto"/>
              <w:left w:val="single" w:sz="6" w:space="0" w:color="auto"/>
              <w:bottom w:val="single" w:sz="6" w:space="0" w:color="auto"/>
              <w:right w:val="single" w:sz="6" w:space="0" w:color="auto"/>
            </w:tcBorders>
          </w:tcPr>
          <w:p w14:paraId="09C894EE"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6</w:t>
            </w:r>
            <w:r w:rsidR="00CD69A3" w:rsidRPr="001316B0">
              <w:rPr>
                <w:rFonts w:ascii="Arial" w:hAnsi="Arial" w:cs="Arial"/>
                <w:lang w:val="en-GB" w:eastAsia="pt-BR"/>
              </w:rPr>
              <w:t>.</w:t>
            </w:r>
            <w:r w:rsidRPr="001316B0">
              <w:rPr>
                <w:rFonts w:ascii="Arial" w:hAnsi="Arial" w:cs="Arial"/>
                <w:lang w:val="en-GB" w:eastAsia="pt-BR"/>
              </w:rPr>
              <w:t>3</w:t>
            </w:r>
          </w:p>
        </w:tc>
        <w:tc>
          <w:tcPr>
            <w:tcW w:w="851" w:type="dxa"/>
            <w:tcBorders>
              <w:top w:val="single" w:sz="6" w:space="0" w:color="auto"/>
              <w:left w:val="single" w:sz="6" w:space="0" w:color="auto"/>
              <w:bottom w:val="single" w:sz="6" w:space="0" w:color="auto"/>
              <w:right w:val="single" w:sz="6" w:space="0" w:color="auto"/>
            </w:tcBorders>
          </w:tcPr>
          <w:p w14:paraId="6F061413"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CD69A3" w:rsidRPr="001316B0">
              <w:rPr>
                <w:rFonts w:ascii="Arial" w:hAnsi="Arial" w:cs="Arial"/>
                <w:lang w:val="en-GB" w:eastAsia="pt-BR"/>
              </w:rPr>
              <w:t>.</w:t>
            </w:r>
            <w:r w:rsidR="009908EA" w:rsidRPr="001316B0">
              <w:rPr>
                <w:rFonts w:ascii="Arial" w:hAnsi="Arial" w:cs="Arial"/>
                <w:lang w:val="en-GB" w:eastAsia="pt-BR"/>
              </w:rPr>
              <w:t>9</w:t>
            </w:r>
          </w:p>
        </w:tc>
        <w:tc>
          <w:tcPr>
            <w:tcW w:w="992" w:type="dxa"/>
            <w:tcBorders>
              <w:top w:val="single" w:sz="6" w:space="0" w:color="auto"/>
              <w:left w:val="single" w:sz="6" w:space="0" w:color="auto"/>
              <w:bottom w:val="single" w:sz="6" w:space="0" w:color="auto"/>
              <w:right w:val="single" w:sz="6" w:space="0" w:color="auto"/>
            </w:tcBorders>
          </w:tcPr>
          <w:p w14:paraId="573CFDC9"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9</w:t>
            </w:r>
            <w:r w:rsidR="00CD69A3" w:rsidRPr="001316B0">
              <w:rPr>
                <w:rFonts w:ascii="Arial" w:hAnsi="Arial" w:cs="Arial"/>
                <w:lang w:val="en-GB" w:eastAsia="pt-BR"/>
              </w:rPr>
              <w:t>.</w:t>
            </w:r>
            <w:r w:rsidRPr="001316B0">
              <w:rPr>
                <w:rFonts w:ascii="Arial" w:hAnsi="Arial" w:cs="Arial"/>
                <w:lang w:val="en-GB" w:eastAsia="pt-BR"/>
              </w:rPr>
              <w:t>2</w:t>
            </w:r>
          </w:p>
        </w:tc>
        <w:tc>
          <w:tcPr>
            <w:tcW w:w="851" w:type="dxa"/>
            <w:tcBorders>
              <w:top w:val="single" w:sz="6" w:space="0" w:color="auto"/>
              <w:left w:val="single" w:sz="6" w:space="0" w:color="auto"/>
              <w:bottom w:val="single" w:sz="6" w:space="0" w:color="auto"/>
              <w:right w:val="single" w:sz="12" w:space="0" w:color="auto"/>
            </w:tcBorders>
          </w:tcPr>
          <w:p w14:paraId="59E0DC9D" w14:textId="77777777" w:rsidR="008D5D0F" w:rsidRPr="001316B0" w:rsidRDefault="0064571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3</w:t>
            </w:r>
            <w:r w:rsidR="00CD69A3" w:rsidRPr="001316B0">
              <w:rPr>
                <w:rFonts w:ascii="Arial" w:hAnsi="Arial" w:cs="Arial"/>
                <w:lang w:val="en-GB" w:eastAsia="pt-BR"/>
              </w:rPr>
              <w:t>.</w:t>
            </w:r>
            <w:r w:rsidRPr="001316B0">
              <w:rPr>
                <w:rFonts w:ascii="Arial" w:hAnsi="Arial" w:cs="Arial"/>
                <w:lang w:val="en-GB" w:eastAsia="pt-BR"/>
              </w:rPr>
              <w:t>8</w:t>
            </w:r>
          </w:p>
        </w:tc>
      </w:tr>
      <w:tr w:rsidR="00FC3075" w:rsidRPr="001316B0" w14:paraId="6E034FF0" w14:textId="77777777" w:rsidTr="00E10D16">
        <w:trPr>
          <w:jc w:val="center"/>
        </w:trPr>
        <w:tc>
          <w:tcPr>
            <w:tcW w:w="1951" w:type="dxa"/>
            <w:tcBorders>
              <w:top w:val="single" w:sz="6" w:space="0" w:color="auto"/>
              <w:left w:val="single" w:sz="12" w:space="0" w:color="auto"/>
              <w:bottom w:val="single" w:sz="6" w:space="0" w:color="auto"/>
              <w:right w:val="single" w:sz="6" w:space="0" w:color="auto"/>
            </w:tcBorders>
          </w:tcPr>
          <w:p w14:paraId="16085A44" w14:textId="77777777" w:rsidR="008D5D0F" w:rsidRPr="001316B0" w:rsidRDefault="008D5D0F" w:rsidP="00FC3075">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proofErr w:type="gramStart"/>
            <w:r w:rsidRPr="001316B0">
              <w:rPr>
                <w:rFonts w:ascii="Arial" w:hAnsi="Arial" w:cs="Arial"/>
                <w:lang w:val="en-GB" w:eastAsia="pt-BR"/>
              </w:rPr>
              <w:t>Subtotal ren</w:t>
            </w:r>
            <w:r w:rsidR="00FC3075" w:rsidRPr="001316B0">
              <w:rPr>
                <w:rFonts w:ascii="Arial" w:hAnsi="Arial" w:cs="Arial"/>
                <w:lang w:val="en-GB" w:eastAsia="pt-BR"/>
              </w:rPr>
              <w:t>ew</w:t>
            </w:r>
            <w:proofErr w:type="gramEnd"/>
            <w:r w:rsidR="00FC3075" w:rsidRPr="001316B0">
              <w:rPr>
                <w:rFonts w:ascii="Arial" w:hAnsi="Arial" w:cs="Arial"/>
                <w:lang w:val="en-GB" w:eastAsia="pt-BR"/>
              </w:rPr>
              <w:t>.</w:t>
            </w:r>
          </w:p>
        </w:tc>
        <w:tc>
          <w:tcPr>
            <w:tcW w:w="851" w:type="dxa"/>
            <w:tcBorders>
              <w:top w:val="single" w:sz="6" w:space="0" w:color="auto"/>
              <w:left w:val="single" w:sz="6" w:space="0" w:color="auto"/>
              <w:bottom w:val="single" w:sz="6" w:space="0" w:color="auto"/>
              <w:right w:val="single" w:sz="6" w:space="0" w:color="auto"/>
            </w:tcBorders>
          </w:tcPr>
          <w:p w14:paraId="597B96B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69</w:t>
            </w:r>
            <w:r w:rsidR="00CD69A3" w:rsidRPr="001316B0">
              <w:rPr>
                <w:rFonts w:ascii="Arial" w:hAnsi="Arial" w:cs="Arial"/>
                <w:lang w:val="en-GB" w:eastAsia="pt-BR"/>
              </w:rPr>
              <w:t>.</w:t>
            </w:r>
            <w:r w:rsidRPr="001316B0">
              <w:rPr>
                <w:rFonts w:ascii="Arial" w:hAnsi="Arial" w:cs="Arial"/>
                <w:lang w:val="en-GB" w:eastAsia="pt-BR"/>
              </w:rPr>
              <w:t>7</w:t>
            </w:r>
          </w:p>
        </w:tc>
        <w:tc>
          <w:tcPr>
            <w:tcW w:w="850" w:type="dxa"/>
            <w:tcBorders>
              <w:top w:val="single" w:sz="6" w:space="0" w:color="auto"/>
              <w:left w:val="single" w:sz="6" w:space="0" w:color="auto"/>
              <w:bottom w:val="single" w:sz="6" w:space="0" w:color="auto"/>
              <w:right w:val="single" w:sz="6" w:space="0" w:color="auto"/>
            </w:tcBorders>
          </w:tcPr>
          <w:p w14:paraId="75515379"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49</w:t>
            </w:r>
            <w:r w:rsidR="00CD69A3" w:rsidRPr="001316B0">
              <w:rPr>
                <w:rFonts w:ascii="Arial" w:hAnsi="Arial" w:cs="Arial"/>
                <w:lang w:val="en-GB" w:eastAsia="pt-BR"/>
              </w:rPr>
              <w:t>.</w:t>
            </w:r>
            <w:r w:rsidRPr="001316B0">
              <w:rPr>
                <w:rFonts w:ascii="Arial" w:hAnsi="Arial" w:cs="Arial"/>
                <w:lang w:val="en-GB" w:eastAsia="pt-BR"/>
              </w:rPr>
              <w:t>1</w:t>
            </w:r>
          </w:p>
        </w:tc>
        <w:tc>
          <w:tcPr>
            <w:tcW w:w="992" w:type="dxa"/>
            <w:tcBorders>
              <w:top w:val="single" w:sz="6" w:space="0" w:color="auto"/>
              <w:left w:val="single" w:sz="6" w:space="0" w:color="auto"/>
              <w:bottom w:val="single" w:sz="6" w:space="0" w:color="auto"/>
              <w:right w:val="single" w:sz="6" w:space="0" w:color="auto"/>
            </w:tcBorders>
          </w:tcPr>
          <w:p w14:paraId="4BFC523A"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78</w:t>
            </w:r>
            <w:r w:rsidR="00CD69A3" w:rsidRPr="001316B0">
              <w:rPr>
                <w:rFonts w:ascii="Arial" w:hAnsi="Arial" w:cs="Arial"/>
                <w:lang w:val="en-GB" w:eastAsia="pt-BR"/>
              </w:rPr>
              <w:t>.</w:t>
            </w:r>
            <w:r w:rsidR="008D5D0F" w:rsidRPr="001316B0">
              <w:rPr>
                <w:rFonts w:ascii="Arial" w:hAnsi="Arial" w:cs="Arial"/>
                <w:lang w:val="en-GB" w:eastAsia="pt-BR"/>
              </w:rPr>
              <w:t>2</w:t>
            </w:r>
          </w:p>
        </w:tc>
        <w:tc>
          <w:tcPr>
            <w:tcW w:w="851" w:type="dxa"/>
            <w:tcBorders>
              <w:top w:val="single" w:sz="6" w:space="0" w:color="auto"/>
              <w:left w:val="single" w:sz="6" w:space="0" w:color="auto"/>
              <w:bottom w:val="single" w:sz="6" w:space="0" w:color="auto"/>
              <w:right w:val="single" w:sz="6" w:space="0" w:color="auto"/>
            </w:tcBorders>
          </w:tcPr>
          <w:p w14:paraId="29EB4BEB"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9908EA" w:rsidRPr="001316B0">
              <w:rPr>
                <w:rFonts w:ascii="Arial" w:hAnsi="Arial" w:cs="Arial"/>
                <w:lang w:val="en-GB" w:eastAsia="pt-BR"/>
              </w:rPr>
              <w:t>1</w:t>
            </w:r>
            <w:r w:rsidR="00CD69A3" w:rsidRPr="001316B0">
              <w:rPr>
                <w:rFonts w:ascii="Arial" w:hAnsi="Arial" w:cs="Arial"/>
                <w:lang w:val="en-GB" w:eastAsia="pt-BR"/>
              </w:rPr>
              <w:t>.</w:t>
            </w:r>
            <w:r w:rsidR="009908EA" w:rsidRPr="001316B0">
              <w:rPr>
                <w:rFonts w:ascii="Arial" w:hAnsi="Arial" w:cs="Arial"/>
                <w:lang w:val="en-GB" w:eastAsia="pt-BR"/>
              </w:rPr>
              <w:t>0</w:t>
            </w:r>
          </w:p>
        </w:tc>
        <w:tc>
          <w:tcPr>
            <w:tcW w:w="992" w:type="dxa"/>
            <w:tcBorders>
              <w:top w:val="single" w:sz="6" w:space="0" w:color="auto"/>
              <w:left w:val="single" w:sz="6" w:space="0" w:color="auto"/>
              <w:bottom w:val="single" w:sz="6" w:space="0" w:color="auto"/>
              <w:right w:val="single" w:sz="6" w:space="0" w:color="auto"/>
            </w:tcBorders>
          </w:tcPr>
          <w:p w14:paraId="42CC4FD6"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97</w:t>
            </w:r>
            <w:r w:rsidR="00CD69A3" w:rsidRPr="001316B0">
              <w:rPr>
                <w:rFonts w:ascii="Arial" w:hAnsi="Arial" w:cs="Arial"/>
                <w:lang w:val="en-GB" w:eastAsia="pt-BR"/>
              </w:rPr>
              <w:t>.</w:t>
            </w:r>
            <w:r w:rsidRPr="001316B0">
              <w:rPr>
                <w:rFonts w:ascii="Arial" w:hAnsi="Arial" w:cs="Arial"/>
                <w:lang w:val="en-GB" w:eastAsia="pt-BR"/>
              </w:rPr>
              <w:t>3</w:t>
            </w:r>
          </w:p>
        </w:tc>
        <w:tc>
          <w:tcPr>
            <w:tcW w:w="851" w:type="dxa"/>
            <w:tcBorders>
              <w:top w:val="single" w:sz="6" w:space="0" w:color="auto"/>
              <w:left w:val="single" w:sz="6" w:space="0" w:color="auto"/>
              <w:bottom w:val="single" w:sz="6" w:space="0" w:color="auto"/>
              <w:right w:val="single" w:sz="6" w:space="0" w:color="auto"/>
            </w:tcBorders>
          </w:tcPr>
          <w:p w14:paraId="331F99F0"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9908EA" w:rsidRPr="001316B0">
              <w:rPr>
                <w:rFonts w:ascii="Arial" w:hAnsi="Arial" w:cs="Arial"/>
                <w:lang w:val="en-GB" w:eastAsia="pt-BR"/>
              </w:rPr>
              <w:t>4</w:t>
            </w:r>
            <w:r w:rsidR="00CD69A3" w:rsidRPr="001316B0">
              <w:rPr>
                <w:rFonts w:ascii="Arial" w:hAnsi="Arial" w:cs="Arial"/>
                <w:lang w:val="en-GB" w:eastAsia="pt-BR"/>
              </w:rPr>
              <w:t>.</w:t>
            </w:r>
            <w:r w:rsidR="009908EA" w:rsidRPr="001316B0">
              <w:rPr>
                <w:rFonts w:ascii="Arial" w:hAnsi="Arial" w:cs="Arial"/>
                <w:lang w:val="en-GB" w:eastAsia="pt-BR"/>
              </w:rPr>
              <w:t>5</w:t>
            </w:r>
          </w:p>
        </w:tc>
        <w:tc>
          <w:tcPr>
            <w:tcW w:w="992" w:type="dxa"/>
            <w:tcBorders>
              <w:top w:val="single" w:sz="6" w:space="0" w:color="auto"/>
              <w:left w:val="single" w:sz="6" w:space="0" w:color="auto"/>
              <w:bottom w:val="single" w:sz="6" w:space="0" w:color="auto"/>
              <w:right w:val="single" w:sz="6" w:space="0" w:color="auto"/>
            </w:tcBorders>
          </w:tcPr>
          <w:p w14:paraId="5E6153D1"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115</w:t>
            </w:r>
            <w:r w:rsidR="00CD69A3" w:rsidRPr="001316B0">
              <w:rPr>
                <w:rFonts w:ascii="Arial" w:hAnsi="Arial" w:cs="Arial"/>
                <w:lang w:val="en-GB" w:eastAsia="pt-BR"/>
              </w:rPr>
              <w:t>.</w:t>
            </w:r>
            <w:r w:rsidRPr="001316B0">
              <w:rPr>
                <w:rFonts w:ascii="Arial" w:hAnsi="Arial" w:cs="Arial"/>
                <w:lang w:val="en-GB" w:eastAsia="pt-BR"/>
              </w:rPr>
              <w:t>4</w:t>
            </w:r>
          </w:p>
        </w:tc>
        <w:tc>
          <w:tcPr>
            <w:tcW w:w="851" w:type="dxa"/>
            <w:tcBorders>
              <w:top w:val="single" w:sz="6" w:space="0" w:color="auto"/>
              <w:left w:val="single" w:sz="6" w:space="0" w:color="auto"/>
              <w:bottom w:val="single" w:sz="6" w:space="0" w:color="auto"/>
              <w:right w:val="single" w:sz="12" w:space="0" w:color="auto"/>
            </w:tcBorders>
          </w:tcPr>
          <w:p w14:paraId="56D96BA4"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4</w:t>
            </w:r>
            <w:r w:rsidR="0064571F" w:rsidRPr="001316B0">
              <w:rPr>
                <w:rFonts w:ascii="Arial" w:hAnsi="Arial" w:cs="Arial"/>
                <w:lang w:val="en-GB" w:eastAsia="pt-BR"/>
              </w:rPr>
              <w:t>7</w:t>
            </w:r>
            <w:r w:rsidR="00CD69A3" w:rsidRPr="001316B0">
              <w:rPr>
                <w:rFonts w:ascii="Arial" w:hAnsi="Arial" w:cs="Arial"/>
                <w:lang w:val="en-GB" w:eastAsia="pt-BR"/>
              </w:rPr>
              <w:t>.</w:t>
            </w:r>
            <w:r w:rsidR="0064571F" w:rsidRPr="001316B0">
              <w:rPr>
                <w:rFonts w:ascii="Arial" w:hAnsi="Arial" w:cs="Arial"/>
                <w:lang w:val="en-GB" w:eastAsia="pt-BR"/>
              </w:rPr>
              <w:t>3</w:t>
            </w:r>
          </w:p>
        </w:tc>
      </w:tr>
      <w:tr w:rsidR="00FC3075" w:rsidRPr="001316B0" w14:paraId="44D970CF" w14:textId="77777777" w:rsidTr="00E10D16">
        <w:trPr>
          <w:jc w:val="center"/>
        </w:trPr>
        <w:tc>
          <w:tcPr>
            <w:tcW w:w="1951" w:type="dxa"/>
            <w:tcBorders>
              <w:top w:val="single" w:sz="6" w:space="0" w:color="auto"/>
              <w:left w:val="single" w:sz="12" w:space="0" w:color="auto"/>
              <w:bottom w:val="single" w:sz="12" w:space="0" w:color="auto"/>
              <w:right w:val="single" w:sz="6" w:space="0" w:color="auto"/>
            </w:tcBorders>
          </w:tcPr>
          <w:p w14:paraId="101E907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TOTAL</w:t>
            </w:r>
          </w:p>
        </w:tc>
        <w:tc>
          <w:tcPr>
            <w:tcW w:w="851" w:type="dxa"/>
            <w:tcBorders>
              <w:top w:val="single" w:sz="6" w:space="0" w:color="auto"/>
              <w:left w:val="single" w:sz="6" w:space="0" w:color="auto"/>
              <w:bottom w:val="single" w:sz="12" w:space="0" w:color="auto"/>
              <w:right w:val="single" w:sz="6" w:space="0" w:color="auto"/>
            </w:tcBorders>
          </w:tcPr>
          <w:p w14:paraId="7F98FCD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142</w:t>
            </w:r>
            <w:r w:rsidR="00CD69A3" w:rsidRPr="001316B0">
              <w:rPr>
                <w:rFonts w:ascii="Arial" w:hAnsi="Arial" w:cs="Arial"/>
                <w:lang w:val="en-GB" w:eastAsia="pt-BR"/>
              </w:rPr>
              <w:t>.</w:t>
            </w:r>
            <w:r w:rsidRPr="001316B0">
              <w:rPr>
                <w:rFonts w:ascii="Arial" w:hAnsi="Arial" w:cs="Arial"/>
                <w:lang w:val="en-GB" w:eastAsia="pt-BR"/>
              </w:rPr>
              <w:t>0</w:t>
            </w:r>
          </w:p>
        </w:tc>
        <w:tc>
          <w:tcPr>
            <w:tcW w:w="850" w:type="dxa"/>
            <w:tcBorders>
              <w:top w:val="single" w:sz="6" w:space="0" w:color="auto"/>
              <w:left w:val="single" w:sz="6" w:space="0" w:color="auto"/>
              <w:bottom w:val="single" w:sz="12" w:space="0" w:color="auto"/>
              <w:right w:val="single" w:sz="6" w:space="0" w:color="auto"/>
            </w:tcBorders>
          </w:tcPr>
          <w:p w14:paraId="2B27EB18"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100</w:t>
            </w:r>
          </w:p>
        </w:tc>
        <w:tc>
          <w:tcPr>
            <w:tcW w:w="992" w:type="dxa"/>
            <w:tcBorders>
              <w:top w:val="single" w:sz="6" w:space="0" w:color="auto"/>
              <w:left w:val="single" w:sz="6" w:space="0" w:color="auto"/>
              <w:bottom w:val="single" w:sz="12" w:space="0" w:color="auto"/>
              <w:right w:val="single" w:sz="6" w:space="0" w:color="auto"/>
            </w:tcBorders>
          </w:tcPr>
          <w:p w14:paraId="3572B34A"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w:t>
            </w:r>
            <w:r w:rsidR="009908EA" w:rsidRPr="001316B0">
              <w:rPr>
                <w:rFonts w:ascii="Arial" w:hAnsi="Arial" w:cs="Arial"/>
                <w:lang w:val="en-GB" w:eastAsia="pt-BR"/>
              </w:rPr>
              <w:t>90</w:t>
            </w:r>
            <w:r w:rsidR="00CD69A3" w:rsidRPr="001316B0">
              <w:rPr>
                <w:rFonts w:ascii="Arial" w:hAnsi="Arial" w:cs="Arial"/>
                <w:lang w:val="en-GB" w:eastAsia="pt-BR"/>
              </w:rPr>
              <w:t>.</w:t>
            </w:r>
            <w:r w:rsidR="009908EA" w:rsidRPr="001316B0">
              <w:rPr>
                <w:rFonts w:ascii="Arial" w:hAnsi="Arial" w:cs="Arial"/>
                <w:lang w:val="en-GB" w:eastAsia="pt-BR"/>
              </w:rPr>
              <w:t>6</w:t>
            </w:r>
          </w:p>
        </w:tc>
        <w:tc>
          <w:tcPr>
            <w:tcW w:w="851" w:type="dxa"/>
            <w:tcBorders>
              <w:top w:val="single" w:sz="6" w:space="0" w:color="auto"/>
              <w:left w:val="single" w:sz="6" w:space="0" w:color="auto"/>
              <w:bottom w:val="single" w:sz="12" w:space="0" w:color="auto"/>
              <w:right w:val="single" w:sz="6" w:space="0" w:color="auto"/>
            </w:tcBorders>
          </w:tcPr>
          <w:p w14:paraId="0C54E0DF"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100</w:t>
            </w:r>
          </w:p>
        </w:tc>
        <w:tc>
          <w:tcPr>
            <w:tcW w:w="992" w:type="dxa"/>
            <w:tcBorders>
              <w:top w:val="single" w:sz="6" w:space="0" w:color="auto"/>
              <w:left w:val="single" w:sz="6" w:space="0" w:color="auto"/>
              <w:bottom w:val="single" w:sz="12" w:space="0" w:color="auto"/>
              <w:right w:val="single" w:sz="6" w:space="0" w:color="auto"/>
            </w:tcBorders>
          </w:tcPr>
          <w:p w14:paraId="2F438D53" w14:textId="77777777" w:rsidR="008D5D0F" w:rsidRPr="001316B0" w:rsidRDefault="009908EA"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218</w:t>
            </w:r>
            <w:r w:rsidR="00CD69A3" w:rsidRPr="001316B0">
              <w:rPr>
                <w:rFonts w:ascii="Arial" w:hAnsi="Arial" w:cs="Arial"/>
                <w:lang w:val="en-GB" w:eastAsia="pt-BR"/>
              </w:rPr>
              <w:t>.</w:t>
            </w:r>
            <w:r w:rsidRPr="001316B0">
              <w:rPr>
                <w:rFonts w:ascii="Arial" w:hAnsi="Arial" w:cs="Arial"/>
                <w:lang w:val="en-GB" w:eastAsia="pt-BR"/>
              </w:rPr>
              <w:t>7</w:t>
            </w:r>
          </w:p>
        </w:tc>
        <w:tc>
          <w:tcPr>
            <w:tcW w:w="851" w:type="dxa"/>
            <w:tcBorders>
              <w:top w:val="single" w:sz="6" w:space="0" w:color="auto"/>
              <w:left w:val="single" w:sz="6" w:space="0" w:color="auto"/>
              <w:bottom w:val="single" w:sz="12" w:space="0" w:color="auto"/>
              <w:right w:val="single" w:sz="6" w:space="0" w:color="auto"/>
            </w:tcBorders>
          </w:tcPr>
          <w:p w14:paraId="4D91797A"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100</w:t>
            </w:r>
          </w:p>
        </w:tc>
        <w:tc>
          <w:tcPr>
            <w:tcW w:w="992" w:type="dxa"/>
            <w:tcBorders>
              <w:top w:val="single" w:sz="6" w:space="0" w:color="auto"/>
              <w:left w:val="single" w:sz="6" w:space="0" w:color="auto"/>
              <w:bottom w:val="single" w:sz="12" w:space="0" w:color="auto"/>
              <w:right w:val="single" w:sz="6" w:space="0" w:color="auto"/>
            </w:tcBorders>
          </w:tcPr>
          <w:p w14:paraId="60EE0C5E"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2</w:t>
            </w:r>
            <w:r w:rsidR="009908EA" w:rsidRPr="001316B0">
              <w:rPr>
                <w:rFonts w:ascii="Arial" w:hAnsi="Arial" w:cs="Arial"/>
                <w:lang w:val="en-GB" w:eastAsia="pt-BR"/>
              </w:rPr>
              <w:t>43</w:t>
            </w:r>
            <w:r w:rsidR="00CD69A3" w:rsidRPr="001316B0">
              <w:rPr>
                <w:rFonts w:ascii="Arial" w:hAnsi="Arial" w:cs="Arial"/>
                <w:lang w:val="en-GB" w:eastAsia="pt-BR"/>
              </w:rPr>
              <w:t>.</w:t>
            </w:r>
            <w:r w:rsidR="009908EA" w:rsidRPr="001316B0">
              <w:rPr>
                <w:rFonts w:ascii="Arial" w:hAnsi="Arial" w:cs="Arial"/>
                <w:lang w:val="en-GB" w:eastAsia="pt-BR"/>
              </w:rPr>
              <w:t>9</w:t>
            </w:r>
          </w:p>
        </w:tc>
        <w:tc>
          <w:tcPr>
            <w:tcW w:w="851" w:type="dxa"/>
            <w:tcBorders>
              <w:top w:val="single" w:sz="6" w:space="0" w:color="auto"/>
              <w:left w:val="single" w:sz="6" w:space="0" w:color="auto"/>
              <w:bottom w:val="single" w:sz="12" w:space="0" w:color="auto"/>
              <w:right w:val="single" w:sz="12" w:space="0" w:color="auto"/>
            </w:tcBorders>
          </w:tcPr>
          <w:p w14:paraId="275D6431"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center"/>
              <w:rPr>
                <w:rFonts w:ascii="Arial" w:hAnsi="Arial" w:cs="Arial"/>
                <w:lang w:val="en-GB" w:eastAsia="pt-BR"/>
              </w:rPr>
            </w:pPr>
            <w:r w:rsidRPr="001316B0">
              <w:rPr>
                <w:rFonts w:ascii="Arial" w:hAnsi="Arial" w:cs="Arial"/>
                <w:lang w:val="en-GB" w:eastAsia="pt-BR"/>
              </w:rPr>
              <w:t>100</w:t>
            </w:r>
          </w:p>
        </w:tc>
      </w:tr>
    </w:tbl>
    <w:p w14:paraId="64C99A33" w14:textId="77777777" w:rsidR="008D5D0F" w:rsidRPr="001316B0" w:rsidRDefault="001973A1" w:rsidP="002904EE">
      <w:pPr>
        <w:tabs>
          <w:tab w:val="decimal" w:pos="2880"/>
          <w:tab w:val="center" w:pos="2988"/>
          <w:tab w:val="decimal" w:pos="3744"/>
          <w:tab w:val="decimal" w:pos="4896"/>
          <w:tab w:val="decimal" w:pos="5760"/>
          <w:tab w:val="decimal" w:pos="6912"/>
          <w:tab w:val="decimal" w:pos="7776"/>
        </w:tabs>
        <w:spacing w:line="360" w:lineRule="auto"/>
        <w:jc w:val="both"/>
        <w:rPr>
          <w:rFonts w:ascii="Arial" w:hAnsi="Arial" w:cs="Arial"/>
          <w:lang w:val="en-GB" w:eastAsia="pt-BR"/>
        </w:rPr>
      </w:pPr>
      <w:r w:rsidRPr="001316B0">
        <w:rPr>
          <w:rFonts w:ascii="Arial" w:hAnsi="Arial" w:cs="Arial"/>
          <w:lang w:val="en-GB" w:eastAsia="pt-BR"/>
        </w:rPr>
        <w:t>Source</w:t>
      </w:r>
      <w:r w:rsidR="003C5B4B" w:rsidRPr="001316B0">
        <w:rPr>
          <w:rFonts w:ascii="Arial" w:hAnsi="Arial" w:cs="Arial"/>
          <w:lang w:val="en-GB" w:eastAsia="pt-BR"/>
        </w:rPr>
        <w:t>: MME/</w:t>
      </w:r>
      <w:r w:rsidR="008D5D0F" w:rsidRPr="001316B0">
        <w:rPr>
          <w:rFonts w:ascii="Arial" w:hAnsi="Arial" w:cs="Arial"/>
          <w:lang w:val="en-GB" w:eastAsia="pt-BR"/>
        </w:rPr>
        <w:t>EPE, "</w:t>
      </w:r>
      <w:r w:rsidRPr="001316B0">
        <w:rPr>
          <w:rFonts w:ascii="Arial" w:hAnsi="Arial" w:cs="Arial"/>
          <w:lang w:val="en-GB" w:eastAsia="pt-BR"/>
        </w:rPr>
        <w:t xml:space="preserve">National Energy Balance </w:t>
      </w:r>
      <w:r w:rsidR="008D5D0F" w:rsidRPr="001316B0">
        <w:rPr>
          <w:rFonts w:ascii="Arial" w:hAnsi="Arial" w:cs="Arial"/>
          <w:lang w:val="en-GB" w:eastAsia="pt-BR"/>
        </w:rPr>
        <w:t>", 2006</w:t>
      </w:r>
      <w:r w:rsidRPr="001316B0">
        <w:rPr>
          <w:rFonts w:ascii="Arial" w:hAnsi="Arial" w:cs="Arial"/>
          <w:lang w:val="en-GB" w:eastAsia="pt-BR"/>
        </w:rPr>
        <w:t xml:space="preserve"> and</w:t>
      </w:r>
      <w:r w:rsidR="009908EA" w:rsidRPr="001316B0">
        <w:rPr>
          <w:rFonts w:ascii="Arial" w:hAnsi="Arial" w:cs="Arial"/>
          <w:lang w:val="en-GB" w:eastAsia="pt-BR"/>
        </w:rPr>
        <w:t xml:space="preserve"> 2010</w:t>
      </w:r>
      <w:r w:rsidR="008D5D0F" w:rsidRPr="001316B0">
        <w:rPr>
          <w:rFonts w:ascii="Arial" w:hAnsi="Arial" w:cs="Arial"/>
          <w:lang w:val="en-GB" w:eastAsia="pt-BR"/>
        </w:rPr>
        <w:t>.</w:t>
      </w:r>
    </w:p>
    <w:p w14:paraId="252D9109"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both"/>
        <w:rPr>
          <w:rFonts w:ascii="Arial" w:hAnsi="Arial" w:cs="Arial"/>
          <w:lang w:val="en-GB" w:eastAsia="pt-BR"/>
        </w:rPr>
      </w:pPr>
    </w:p>
    <w:p w14:paraId="6021DF6F" w14:textId="77777777" w:rsidR="008D5D0F" w:rsidRPr="001316B0" w:rsidRDefault="00913CB1" w:rsidP="002904EE">
      <w:pPr>
        <w:tabs>
          <w:tab w:val="decimal" w:pos="2880"/>
          <w:tab w:val="center" w:pos="2988"/>
          <w:tab w:val="decimal" w:pos="3744"/>
          <w:tab w:val="decimal" w:pos="4896"/>
          <w:tab w:val="decimal" w:pos="5760"/>
          <w:tab w:val="decimal" w:pos="6912"/>
          <w:tab w:val="decimal" w:pos="7776"/>
        </w:tabs>
        <w:spacing w:line="360" w:lineRule="auto"/>
        <w:jc w:val="both"/>
        <w:rPr>
          <w:rFonts w:ascii="Arial" w:hAnsi="Arial" w:cs="Arial"/>
          <w:lang w:val="en-GB" w:eastAsia="pt-BR"/>
        </w:rPr>
      </w:pPr>
      <w:r w:rsidRPr="001316B0">
        <w:rPr>
          <w:rFonts w:ascii="Arial" w:hAnsi="Arial" w:cs="Arial"/>
          <w:lang w:val="en-GB" w:eastAsia="pt-BR"/>
        </w:rPr>
        <w:t xml:space="preserve">The rise in </w:t>
      </w:r>
      <w:r w:rsidR="00AA7585" w:rsidRPr="001316B0">
        <w:rPr>
          <w:rFonts w:ascii="Arial" w:hAnsi="Arial" w:cs="Arial"/>
          <w:lang w:val="en-GB" w:eastAsia="pt-BR"/>
        </w:rPr>
        <w:t xml:space="preserve">energy use </w:t>
      </w:r>
      <w:r w:rsidR="001973A1" w:rsidRPr="001316B0">
        <w:rPr>
          <w:rFonts w:ascii="Arial" w:hAnsi="Arial" w:cs="Arial"/>
          <w:lang w:val="en-GB" w:eastAsia="pt-BR"/>
        </w:rPr>
        <w:t xml:space="preserve">in the country started </w:t>
      </w:r>
      <w:r w:rsidRPr="001316B0">
        <w:rPr>
          <w:rFonts w:ascii="Arial" w:hAnsi="Arial" w:cs="Arial"/>
          <w:lang w:val="en-GB" w:eastAsia="pt-BR"/>
        </w:rPr>
        <w:t xml:space="preserve">during </w:t>
      </w:r>
      <w:r w:rsidR="001973A1" w:rsidRPr="001316B0">
        <w:rPr>
          <w:rFonts w:ascii="Arial" w:hAnsi="Arial" w:cs="Arial"/>
          <w:lang w:val="en-GB" w:eastAsia="pt-BR"/>
        </w:rPr>
        <w:t>the Second World War due to accelerated urbanization of a growing population, the industrialization p</w:t>
      </w:r>
      <w:r w:rsidRPr="001316B0">
        <w:rPr>
          <w:rFonts w:ascii="Arial" w:hAnsi="Arial" w:cs="Arial"/>
          <w:lang w:val="en-GB" w:eastAsia="pt-BR"/>
        </w:rPr>
        <w:t>rocess and the construction of r</w:t>
      </w:r>
      <w:r w:rsidR="001973A1" w:rsidRPr="001316B0">
        <w:rPr>
          <w:rFonts w:ascii="Arial" w:hAnsi="Arial" w:cs="Arial"/>
          <w:lang w:val="en-GB" w:eastAsia="pt-BR"/>
        </w:rPr>
        <w:t>oad transport infrastructure leading to high energy consumption.</w:t>
      </w:r>
      <w:r w:rsidR="008D5D0F" w:rsidRPr="001316B0">
        <w:rPr>
          <w:rFonts w:ascii="Arial" w:hAnsi="Arial" w:cs="Arial"/>
          <w:lang w:val="en-GB" w:eastAsia="pt-BR"/>
        </w:rPr>
        <w:t xml:space="preserve"> </w:t>
      </w:r>
      <w:r w:rsidR="006E2A4B" w:rsidRPr="001316B0">
        <w:rPr>
          <w:rFonts w:ascii="Arial" w:hAnsi="Arial" w:cs="Arial"/>
          <w:lang w:val="en-GB" w:eastAsia="pt-BR"/>
        </w:rPr>
        <w:t xml:space="preserve">In </w:t>
      </w:r>
      <w:r w:rsidR="008D5D0F" w:rsidRPr="001316B0">
        <w:rPr>
          <w:rFonts w:ascii="Arial" w:hAnsi="Arial" w:cs="Arial"/>
          <w:lang w:val="en-GB" w:eastAsia="pt-BR"/>
        </w:rPr>
        <w:t xml:space="preserve">1940, </w:t>
      </w:r>
      <w:r w:rsidR="006E2A4B" w:rsidRPr="001316B0">
        <w:rPr>
          <w:rFonts w:ascii="Arial" w:hAnsi="Arial" w:cs="Arial"/>
          <w:lang w:val="en-GB" w:eastAsia="pt-BR"/>
        </w:rPr>
        <w:t>when 69% of the national population of around 41 million still lived in rural areas, consumption of primary energy in Brazil was only 23.</w:t>
      </w:r>
      <w:r w:rsidR="008D5D0F" w:rsidRPr="001316B0">
        <w:rPr>
          <w:rFonts w:ascii="Arial" w:hAnsi="Arial" w:cs="Arial"/>
          <w:lang w:val="en-GB" w:eastAsia="pt-BR"/>
        </w:rPr>
        <w:t xml:space="preserve">4 </w:t>
      </w:r>
      <w:proofErr w:type="spellStart"/>
      <w:r w:rsidR="0047697B" w:rsidRPr="001316B0">
        <w:rPr>
          <w:rFonts w:ascii="Arial" w:hAnsi="Arial" w:cs="Arial"/>
          <w:lang w:val="en-GB" w:eastAsia="pt-BR"/>
        </w:rPr>
        <w:t>Mtoe</w:t>
      </w:r>
      <w:proofErr w:type="spellEnd"/>
      <w:r w:rsidR="008D5D0F" w:rsidRPr="001316B0">
        <w:rPr>
          <w:rFonts w:ascii="Arial" w:hAnsi="Arial" w:cs="Arial"/>
          <w:lang w:val="en-GB" w:eastAsia="pt-BR"/>
        </w:rPr>
        <w:t xml:space="preserve">. </w:t>
      </w:r>
      <w:r w:rsidR="00075EF8" w:rsidRPr="001316B0">
        <w:rPr>
          <w:rFonts w:ascii="Arial" w:hAnsi="Arial" w:cs="Arial"/>
          <w:lang w:val="en-GB" w:eastAsia="pt-BR"/>
        </w:rPr>
        <w:t xml:space="preserve">Total consumption of primary energy in Brazil rose sharply during the 70s and fell in the 80s. By the end of the century, 60 years later, </w:t>
      </w:r>
      <w:r w:rsidR="00FB2BE2" w:rsidRPr="001316B0">
        <w:rPr>
          <w:rFonts w:ascii="Arial" w:hAnsi="Arial" w:cs="Arial"/>
          <w:lang w:val="en-GB" w:eastAsia="pt-BR"/>
        </w:rPr>
        <w:t xml:space="preserve">81% </w:t>
      </w:r>
      <w:r w:rsidR="00075EF8" w:rsidRPr="001316B0">
        <w:rPr>
          <w:rFonts w:ascii="Arial" w:hAnsi="Arial" w:cs="Arial"/>
          <w:lang w:val="en-GB" w:eastAsia="pt-BR"/>
        </w:rPr>
        <w:t xml:space="preserve">of a population of </w:t>
      </w:r>
      <w:r w:rsidR="00FB2BE2" w:rsidRPr="001316B0">
        <w:rPr>
          <w:rFonts w:ascii="Arial" w:hAnsi="Arial" w:cs="Arial"/>
          <w:lang w:val="en-GB" w:eastAsia="pt-BR"/>
        </w:rPr>
        <w:t>171</w:t>
      </w:r>
      <w:r w:rsidR="008D5D0F" w:rsidRPr="001316B0">
        <w:rPr>
          <w:rFonts w:ascii="Arial" w:hAnsi="Arial" w:cs="Arial"/>
          <w:lang w:val="en-GB" w:eastAsia="pt-BR"/>
        </w:rPr>
        <w:t xml:space="preserve"> </w:t>
      </w:r>
      <w:r w:rsidR="00075EF8" w:rsidRPr="001316B0">
        <w:rPr>
          <w:rFonts w:ascii="Arial" w:hAnsi="Arial" w:cs="Arial"/>
          <w:lang w:val="en-GB" w:eastAsia="pt-BR"/>
        </w:rPr>
        <w:t xml:space="preserve">million lived in the cities of a country with </w:t>
      </w:r>
      <w:r w:rsidR="00D445BA" w:rsidRPr="001316B0">
        <w:rPr>
          <w:rFonts w:ascii="Arial" w:hAnsi="Arial" w:cs="Arial"/>
          <w:lang w:val="en-GB" w:eastAsia="pt-BR"/>
        </w:rPr>
        <w:t>6</w:t>
      </w:r>
      <w:r w:rsidRPr="001316B0">
        <w:rPr>
          <w:rFonts w:ascii="Arial" w:hAnsi="Arial" w:cs="Arial"/>
          <w:lang w:val="en-GB" w:eastAsia="pt-BR"/>
        </w:rPr>
        <w:t>.</w:t>
      </w:r>
      <w:r w:rsidR="00D445BA" w:rsidRPr="001316B0">
        <w:rPr>
          <w:rFonts w:ascii="Arial" w:hAnsi="Arial" w:cs="Arial"/>
          <w:lang w:val="en-GB" w:eastAsia="pt-BR"/>
        </w:rPr>
        <w:t>908</w:t>
      </w:r>
      <w:r w:rsidR="00075EF8" w:rsidRPr="001316B0">
        <w:rPr>
          <w:rFonts w:ascii="Arial" w:hAnsi="Arial" w:cs="Arial"/>
          <w:lang w:val="en-GB" w:eastAsia="pt-BR"/>
        </w:rPr>
        <w:t xml:space="preserve"> US</w:t>
      </w:r>
      <w:r w:rsidR="008D5D0F" w:rsidRPr="001316B0">
        <w:rPr>
          <w:rFonts w:ascii="Arial" w:hAnsi="Arial" w:cs="Arial"/>
          <w:lang w:val="en-GB" w:eastAsia="pt-BR"/>
        </w:rPr>
        <w:t xml:space="preserve"> </w:t>
      </w:r>
      <w:r w:rsidR="00075EF8" w:rsidRPr="001316B0">
        <w:rPr>
          <w:rFonts w:ascii="Arial" w:hAnsi="Arial" w:cs="Arial"/>
          <w:lang w:val="en-GB" w:eastAsia="pt-BR"/>
        </w:rPr>
        <w:t>dollars of GDP</w:t>
      </w:r>
      <w:r w:rsidR="00D445BA" w:rsidRPr="001316B0">
        <w:rPr>
          <w:rFonts w:ascii="Arial" w:hAnsi="Arial" w:cs="Arial"/>
          <w:lang w:val="en-GB" w:eastAsia="pt-BR"/>
        </w:rPr>
        <w:t>/capita (</w:t>
      </w:r>
      <w:r w:rsidR="00075EF8" w:rsidRPr="001316B0">
        <w:rPr>
          <w:rFonts w:ascii="Arial" w:hAnsi="Arial" w:cs="Arial"/>
          <w:lang w:val="en-GB" w:eastAsia="pt-BR"/>
        </w:rPr>
        <w:t>in US$ of</w:t>
      </w:r>
      <w:r w:rsidR="00D445BA" w:rsidRPr="001316B0">
        <w:rPr>
          <w:rFonts w:ascii="Arial" w:hAnsi="Arial" w:cs="Arial"/>
          <w:lang w:val="en-GB" w:eastAsia="pt-BR"/>
        </w:rPr>
        <w:t xml:space="preserve"> 2009</w:t>
      </w:r>
      <w:r w:rsidR="008D5D0F" w:rsidRPr="001316B0">
        <w:rPr>
          <w:rFonts w:ascii="Arial" w:hAnsi="Arial" w:cs="Arial"/>
          <w:lang w:val="en-GB" w:eastAsia="pt-BR"/>
        </w:rPr>
        <w:t xml:space="preserve">), </w:t>
      </w:r>
      <w:r w:rsidR="00075EF8" w:rsidRPr="001316B0">
        <w:rPr>
          <w:rFonts w:ascii="Arial" w:hAnsi="Arial" w:cs="Arial"/>
          <w:lang w:val="en-GB" w:eastAsia="pt-BR"/>
        </w:rPr>
        <w:t>and average energy consumption per inhabitant had almost doubled, from 0.</w:t>
      </w:r>
      <w:r w:rsidR="008D5D0F" w:rsidRPr="001316B0">
        <w:rPr>
          <w:rFonts w:ascii="Arial" w:hAnsi="Arial" w:cs="Arial"/>
          <w:lang w:val="en-GB" w:eastAsia="pt-BR"/>
        </w:rPr>
        <w:t xml:space="preserve">6 </w:t>
      </w:r>
      <w:r w:rsidR="00075EF8" w:rsidRPr="001316B0">
        <w:rPr>
          <w:rFonts w:ascii="Arial" w:hAnsi="Arial" w:cs="Arial"/>
          <w:lang w:val="en-GB" w:eastAsia="pt-BR"/>
        </w:rPr>
        <w:t xml:space="preserve">to 1.1 </w:t>
      </w:r>
      <w:r w:rsidR="00362D0A" w:rsidRPr="001316B0">
        <w:rPr>
          <w:rFonts w:ascii="Arial" w:hAnsi="Arial" w:cs="Arial"/>
          <w:lang w:val="en-GB" w:eastAsia="pt-BR"/>
        </w:rPr>
        <w:t>toe</w:t>
      </w:r>
      <w:r w:rsidR="008D5D0F" w:rsidRPr="001316B0">
        <w:rPr>
          <w:rFonts w:ascii="Arial" w:hAnsi="Arial" w:cs="Arial"/>
          <w:lang w:val="en-GB" w:eastAsia="pt-BR"/>
        </w:rPr>
        <w:t>/</w:t>
      </w:r>
      <w:r w:rsidR="00D71BE8" w:rsidRPr="001316B0">
        <w:rPr>
          <w:rFonts w:ascii="Arial" w:hAnsi="Arial" w:cs="Arial"/>
          <w:lang w:val="en-GB" w:eastAsia="pt-BR"/>
        </w:rPr>
        <w:t>person</w:t>
      </w:r>
      <w:r w:rsidR="008D5D0F" w:rsidRPr="001316B0">
        <w:rPr>
          <w:rFonts w:ascii="Arial" w:hAnsi="Arial" w:cs="Arial"/>
          <w:lang w:val="en-GB" w:eastAsia="pt-BR"/>
        </w:rPr>
        <w:t>/</w:t>
      </w:r>
      <w:r w:rsidR="00075EF8" w:rsidRPr="001316B0">
        <w:rPr>
          <w:rFonts w:ascii="Arial" w:hAnsi="Arial" w:cs="Arial"/>
          <w:lang w:val="en-GB" w:eastAsia="pt-BR"/>
        </w:rPr>
        <w:t>year</w:t>
      </w:r>
      <w:r w:rsidR="008D5D0F" w:rsidRPr="001316B0">
        <w:rPr>
          <w:rFonts w:ascii="Arial" w:hAnsi="Arial" w:cs="Arial"/>
          <w:lang w:val="en-GB" w:eastAsia="pt-BR"/>
        </w:rPr>
        <w:t xml:space="preserve"> (</w:t>
      </w:r>
      <w:r w:rsidR="00075EF8" w:rsidRPr="001316B0">
        <w:rPr>
          <w:rFonts w:ascii="Arial" w:hAnsi="Arial" w:cs="Arial"/>
          <w:lang w:val="en-GB" w:eastAsia="pt-BR"/>
        </w:rPr>
        <w:t>see charts 1 and 2</w:t>
      </w:r>
      <w:r w:rsidR="008D5D0F" w:rsidRPr="001316B0">
        <w:rPr>
          <w:rFonts w:ascii="Arial" w:hAnsi="Arial" w:cs="Arial"/>
          <w:lang w:val="en-GB" w:eastAsia="pt-BR"/>
        </w:rPr>
        <w:t>).</w:t>
      </w:r>
    </w:p>
    <w:p w14:paraId="0E858503" w14:textId="77777777" w:rsidR="008D5D0F" w:rsidRPr="001316B0" w:rsidRDefault="008D5D0F" w:rsidP="002904EE">
      <w:pPr>
        <w:tabs>
          <w:tab w:val="decimal" w:pos="2880"/>
          <w:tab w:val="center" w:pos="2988"/>
          <w:tab w:val="decimal" w:pos="3744"/>
          <w:tab w:val="decimal" w:pos="4896"/>
          <w:tab w:val="decimal" w:pos="5760"/>
          <w:tab w:val="decimal" w:pos="6912"/>
          <w:tab w:val="decimal" w:pos="7776"/>
        </w:tabs>
        <w:spacing w:line="360" w:lineRule="auto"/>
        <w:jc w:val="both"/>
        <w:rPr>
          <w:rFonts w:ascii="Arial" w:hAnsi="Arial" w:cs="Arial"/>
          <w:lang w:val="en-GB" w:eastAsia="pt-BR"/>
        </w:rPr>
      </w:pPr>
    </w:p>
    <w:p w14:paraId="334C75D8" w14:textId="77777777" w:rsidR="008D5D0F" w:rsidRPr="001316B0" w:rsidRDefault="00F776F2" w:rsidP="002904EE">
      <w:pPr>
        <w:spacing w:line="360" w:lineRule="auto"/>
        <w:jc w:val="center"/>
        <w:rPr>
          <w:rFonts w:ascii="Arial" w:hAnsi="Arial" w:cs="Arial"/>
          <w:b/>
          <w:lang w:val="en-GB" w:eastAsia="pt-BR"/>
        </w:rPr>
      </w:pPr>
      <w:r w:rsidRPr="001316B0">
        <w:rPr>
          <w:rFonts w:ascii="Arial" w:hAnsi="Arial" w:cs="Arial"/>
          <w:b/>
          <w:lang w:val="en-GB" w:eastAsia="pt-BR"/>
        </w:rPr>
        <w:t>Chart 2</w:t>
      </w:r>
    </w:p>
    <w:p w14:paraId="1751AA53" w14:textId="77777777" w:rsidR="008D5D0F" w:rsidRPr="001316B0" w:rsidRDefault="008D5D0F" w:rsidP="002904EE">
      <w:pPr>
        <w:spacing w:line="360" w:lineRule="auto"/>
        <w:jc w:val="center"/>
        <w:rPr>
          <w:rFonts w:ascii="Arial" w:hAnsi="Arial" w:cs="Arial"/>
          <w:b/>
          <w:lang w:val="en-GB" w:eastAsia="pt-BR"/>
        </w:rPr>
      </w:pPr>
      <w:r w:rsidRPr="001316B0">
        <w:rPr>
          <w:rFonts w:ascii="Arial" w:hAnsi="Arial" w:cs="Arial"/>
          <w:b/>
          <w:lang w:val="en-GB" w:eastAsia="pt-BR"/>
        </w:rPr>
        <w:t>Po</w:t>
      </w:r>
      <w:r w:rsidR="00F776F2" w:rsidRPr="001316B0">
        <w:rPr>
          <w:rFonts w:ascii="Arial" w:hAnsi="Arial" w:cs="Arial"/>
          <w:b/>
          <w:lang w:val="en-GB" w:eastAsia="pt-BR"/>
        </w:rPr>
        <w:t>pulation</w:t>
      </w:r>
      <w:r w:rsidRPr="001316B0">
        <w:rPr>
          <w:rFonts w:ascii="Arial" w:hAnsi="Arial" w:cs="Arial"/>
          <w:b/>
          <w:lang w:val="en-GB" w:eastAsia="pt-BR"/>
        </w:rPr>
        <w:t xml:space="preserve">, </w:t>
      </w:r>
      <w:r w:rsidR="00F776F2" w:rsidRPr="001316B0">
        <w:rPr>
          <w:rFonts w:ascii="Arial" w:hAnsi="Arial" w:cs="Arial"/>
          <w:b/>
          <w:lang w:val="en-GB" w:eastAsia="pt-BR"/>
        </w:rPr>
        <w:t>GDP and Primary Energy Consumption in Brazil</w:t>
      </w:r>
      <w:r w:rsidR="0064571F" w:rsidRPr="001316B0">
        <w:rPr>
          <w:rFonts w:ascii="Arial" w:hAnsi="Arial" w:cs="Arial"/>
          <w:b/>
          <w:lang w:val="en-GB" w:eastAsia="pt-BR"/>
        </w:rPr>
        <w:t>, 1990-2009</w:t>
      </w:r>
    </w:p>
    <w:p w14:paraId="32FFF73D" w14:textId="77777777" w:rsidR="008D5D0F" w:rsidRPr="001316B0" w:rsidRDefault="008D5D0F" w:rsidP="002904EE">
      <w:pPr>
        <w:spacing w:line="360" w:lineRule="auto"/>
        <w:jc w:val="both"/>
        <w:rPr>
          <w:rFonts w:ascii="Arial" w:hAnsi="Arial" w:cs="Arial"/>
          <w:lang w:val="en-GB"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3"/>
        <w:gridCol w:w="1290"/>
        <w:gridCol w:w="1417"/>
        <w:gridCol w:w="1276"/>
        <w:gridCol w:w="1276"/>
      </w:tblGrid>
      <w:tr w:rsidR="008D5D0F" w:rsidRPr="001316B0" w14:paraId="035459F8"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20BCA4C5" w14:textId="77777777" w:rsidR="008D5D0F" w:rsidRPr="001316B0" w:rsidRDefault="008D5D0F" w:rsidP="002904EE">
            <w:pPr>
              <w:spacing w:line="360" w:lineRule="auto"/>
              <w:jc w:val="both"/>
              <w:rPr>
                <w:rFonts w:ascii="Arial" w:hAnsi="Arial" w:cs="Arial"/>
                <w:lang w:val="en-GB" w:eastAsia="pt-BR"/>
              </w:rPr>
            </w:pPr>
          </w:p>
          <w:p w14:paraId="0009E998" w14:textId="77777777" w:rsidR="008D5D0F" w:rsidRPr="001316B0" w:rsidRDefault="008D5D0F" w:rsidP="002904EE">
            <w:pPr>
              <w:spacing w:line="360" w:lineRule="auto"/>
              <w:jc w:val="both"/>
              <w:rPr>
                <w:rFonts w:ascii="Arial" w:hAnsi="Arial" w:cs="Arial"/>
                <w:lang w:val="en-GB" w:eastAsia="pt-BR"/>
              </w:rPr>
            </w:pPr>
          </w:p>
        </w:tc>
        <w:tc>
          <w:tcPr>
            <w:tcW w:w="1290" w:type="dxa"/>
            <w:tcBorders>
              <w:top w:val="single" w:sz="4" w:space="0" w:color="auto"/>
              <w:left w:val="single" w:sz="4" w:space="0" w:color="auto"/>
              <w:bottom w:val="single" w:sz="4" w:space="0" w:color="auto"/>
              <w:right w:val="single" w:sz="4" w:space="0" w:color="auto"/>
            </w:tcBorders>
          </w:tcPr>
          <w:p w14:paraId="17531F66"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1990</w:t>
            </w:r>
          </w:p>
        </w:tc>
        <w:tc>
          <w:tcPr>
            <w:tcW w:w="1417" w:type="dxa"/>
            <w:tcBorders>
              <w:top w:val="single" w:sz="4" w:space="0" w:color="auto"/>
              <w:left w:val="single" w:sz="4" w:space="0" w:color="auto"/>
              <w:bottom w:val="single" w:sz="4" w:space="0" w:color="auto"/>
              <w:right w:val="single" w:sz="4" w:space="0" w:color="auto"/>
            </w:tcBorders>
          </w:tcPr>
          <w:p w14:paraId="6AE841DA"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2000</w:t>
            </w:r>
          </w:p>
        </w:tc>
        <w:tc>
          <w:tcPr>
            <w:tcW w:w="1276" w:type="dxa"/>
            <w:tcBorders>
              <w:top w:val="single" w:sz="4" w:space="0" w:color="auto"/>
              <w:left w:val="single" w:sz="4" w:space="0" w:color="auto"/>
              <w:bottom w:val="single" w:sz="4" w:space="0" w:color="auto"/>
              <w:right w:val="single" w:sz="4" w:space="0" w:color="auto"/>
            </w:tcBorders>
          </w:tcPr>
          <w:p w14:paraId="6B333FB9"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200</w:t>
            </w:r>
            <w:r w:rsidR="0064571F" w:rsidRPr="001316B0">
              <w:rPr>
                <w:rFonts w:ascii="Arial" w:hAnsi="Arial" w:cs="Arial"/>
                <w:lang w:val="en-GB" w:eastAsia="pt-BR"/>
              </w:rPr>
              <w:t>5</w:t>
            </w:r>
          </w:p>
        </w:tc>
        <w:tc>
          <w:tcPr>
            <w:tcW w:w="1276" w:type="dxa"/>
            <w:tcBorders>
              <w:top w:val="single" w:sz="4" w:space="0" w:color="auto"/>
              <w:left w:val="single" w:sz="4" w:space="0" w:color="auto"/>
              <w:bottom w:val="single" w:sz="4" w:space="0" w:color="auto"/>
              <w:right w:val="single" w:sz="4" w:space="0" w:color="auto"/>
            </w:tcBorders>
          </w:tcPr>
          <w:p w14:paraId="282089D4"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200</w:t>
            </w:r>
            <w:r w:rsidR="0064571F" w:rsidRPr="001316B0">
              <w:rPr>
                <w:rFonts w:ascii="Arial" w:hAnsi="Arial" w:cs="Arial"/>
                <w:lang w:val="en-GB" w:eastAsia="pt-BR"/>
              </w:rPr>
              <w:t>9</w:t>
            </w:r>
          </w:p>
        </w:tc>
      </w:tr>
      <w:tr w:rsidR="008D5D0F" w:rsidRPr="001316B0" w14:paraId="69FA0FCD"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560C2B4D" w14:textId="77777777" w:rsidR="008D5D0F" w:rsidRPr="001316B0" w:rsidRDefault="008D5D0F" w:rsidP="002904EE">
            <w:pPr>
              <w:spacing w:line="360" w:lineRule="auto"/>
              <w:jc w:val="both"/>
              <w:rPr>
                <w:rFonts w:ascii="Arial" w:hAnsi="Arial" w:cs="Arial"/>
                <w:lang w:val="en-GB" w:eastAsia="pt-BR"/>
              </w:rPr>
            </w:pPr>
            <w:r w:rsidRPr="001316B0">
              <w:rPr>
                <w:rFonts w:ascii="Arial" w:hAnsi="Arial" w:cs="Arial"/>
                <w:lang w:val="en-GB" w:eastAsia="pt-BR"/>
              </w:rPr>
              <w:t>P</w:t>
            </w:r>
            <w:r w:rsidR="002E577B" w:rsidRPr="001316B0">
              <w:rPr>
                <w:rFonts w:ascii="Arial" w:hAnsi="Arial" w:cs="Arial"/>
                <w:lang w:val="en-GB" w:eastAsia="pt-BR"/>
              </w:rPr>
              <w:t>opulation</w:t>
            </w:r>
          </w:p>
          <w:p w14:paraId="2BE60942" w14:textId="77777777" w:rsidR="008D5D0F" w:rsidRPr="001316B0" w:rsidRDefault="008D5D0F" w:rsidP="00D71BE8">
            <w:pPr>
              <w:spacing w:line="360" w:lineRule="auto"/>
              <w:jc w:val="both"/>
              <w:rPr>
                <w:rFonts w:ascii="Arial" w:hAnsi="Arial" w:cs="Arial"/>
                <w:lang w:val="en-GB" w:eastAsia="pt-BR"/>
              </w:rPr>
            </w:pPr>
            <w:r w:rsidRPr="001316B0">
              <w:rPr>
                <w:rFonts w:ascii="Arial" w:hAnsi="Arial" w:cs="Arial"/>
                <w:lang w:val="en-GB" w:eastAsia="pt-BR"/>
              </w:rPr>
              <w:t>(</w:t>
            </w:r>
            <w:r w:rsidR="002E577B" w:rsidRPr="001316B0">
              <w:rPr>
                <w:rFonts w:ascii="Arial" w:hAnsi="Arial" w:cs="Arial"/>
                <w:lang w:val="en-GB" w:eastAsia="pt-BR"/>
              </w:rPr>
              <w:t>million inhab</w:t>
            </w:r>
            <w:r w:rsidR="00D71BE8" w:rsidRPr="001316B0">
              <w:rPr>
                <w:rFonts w:ascii="Arial" w:hAnsi="Arial" w:cs="Arial"/>
                <w:lang w:val="en-GB" w:eastAsia="pt-BR"/>
              </w:rPr>
              <w:t>itants</w:t>
            </w:r>
            <w:r w:rsidRPr="001316B0">
              <w:rPr>
                <w:rFonts w:ascii="Arial" w:hAnsi="Arial" w:cs="Arial"/>
                <w:lang w:val="en-GB" w:eastAsia="pt-BR"/>
              </w:rPr>
              <w:t>)</w:t>
            </w:r>
          </w:p>
        </w:tc>
        <w:tc>
          <w:tcPr>
            <w:tcW w:w="1290" w:type="dxa"/>
            <w:tcBorders>
              <w:top w:val="single" w:sz="4" w:space="0" w:color="auto"/>
              <w:left w:val="single" w:sz="4" w:space="0" w:color="auto"/>
              <w:bottom w:val="single" w:sz="4" w:space="0" w:color="auto"/>
              <w:right w:val="single" w:sz="4" w:space="0" w:color="auto"/>
            </w:tcBorders>
          </w:tcPr>
          <w:p w14:paraId="32FE031E"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146</w:t>
            </w:r>
            <w:r w:rsidR="003B27CF" w:rsidRPr="001316B0">
              <w:rPr>
                <w:rFonts w:ascii="Arial" w:hAnsi="Arial" w:cs="Arial"/>
                <w:lang w:val="en-GB" w:eastAsia="pt-BR"/>
              </w:rPr>
              <w:t>.</w:t>
            </w:r>
            <w:r w:rsidRPr="001316B0">
              <w:rPr>
                <w:rFonts w:ascii="Arial" w:hAnsi="Arial" w:cs="Arial"/>
                <w:lang w:val="en-GB" w:eastAsia="pt-BR"/>
              </w:rPr>
              <w:t>6</w:t>
            </w:r>
          </w:p>
        </w:tc>
        <w:tc>
          <w:tcPr>
            <w:tcW w:w="1417" w:type="dxa"/>
            <w:tcBorders>
              <w:top w:val="single" w:sz="4" w:space="0" w:color="auto"/>
              <w:left w:val="single" w:sz="4" w:space="0" w:color="auto"/>
              <w:bottom w:val="single" w:sz="4" w:space="0" w:color="auto"/>
              <w:right w:val="single" w:sz="4" w:space="0" w:color="auto"/>
            </w:tcBorders>
          </w:tcPr>
          <w:p w14:paraId="55CA5D14"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w:t>
            </w:r>
            <w:r w:rsidR="0064571F" w:rsidRPr="001316B0">
              <w:rPr>
                <w:rFonts w:ascii="Arial" w:hAnsi="Arial" w:cs="Arial"/>
                <w:lang w:val="en-GB" w:eastAsia="pt-BR"/>
              </w:rPr>
              <w:t>71</w:t>
            </w:r>
            <w:r w:rsidR="003B27CF" w:rsidRPr="001316B0">
              <w:rPr>
                <w:rFonts w:ascii="Arial" w:hAnsi="Arial" w:cs="Arial"/>
                <w:lang w:val="en-GB" w:eastAsia="pt-BR"/>
              </w:rPr>
              <w:t>.</w:t>
            </w:r>
            <w:r w:rsidR="0064571F" w:rsidRPr="001316B0">
              <w:rPr>
                <w:rFonts w:ascii="Arial" w:hAnsi="Arial" w:cs="Arial"/>
                <w:lang w:val="en-GB" w:eastAsia="pt-BR"/>
              </w:rPr>
              <w:t>3</w:t>
            </w:r>
          </w:p>
        </w:tc>
        <w:tc>
          <w:tcPr>
            <w:tcW w:w="1276" w:type="dxa"/>
            <w:tcBorders>
              <w:top w:val="single" w:sz="4" w:space="0" w:color="auto"/>
              <w:left w:val="single" w:sz="4" w:space="0" w:color="auto"/>
              <w:bottom w:val="single" w:sz="4" w:space="0" w:color="auto"/>
              <w:right w:val="single" w:sz="4" w:space="0" w:color="auto"/>
            </w:tcBorders>
          </w:tcPr>
          <w:p w14:paraId="4F61B789"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18</w:t>
            </w:r>
            <w:r w:rsidR="001920D5" w:rsidRPr="001316B0">
              <w:rPr>
                <w:rFonts w:ascii="Arial" w:hAnsi="Arial" w:cs="Arial"/>
                <w:lang w:val="en-GB" w:eastAsia="pt-BR"/>
              </w:rPr>
              <w:t>3</w:t>
            </w:r>
            <w:r w:rsidR="003B27CF" w:rsidRPr="001316B0">
              <w:rPr>
                <w:rFonts w:ascii="Arial" w:hAnsi="Arial" w:cs="Arial"/>
                <w:lang w:val="en-GB" w:eastAsia="pt-BR"/>
              </w:rPr>
              <w:t>.</w:t>
            </w:r>
            <w:r w:rsidR="001920D5" w:rsidRPr="001316B0">
              <w:rPr>
                <w:rFonts w:ascii="Arial" w:hAnsi="Arial" w:cs="Arial"/>
                <w:lang w:val="en-GB" w:eastAsia="pt-BR"/>
              </w:rPr>
              <w:t>4</w:t>
            </w:r>
          </w:p>
        </w:tc>
        <w:tc>
          <w:tcPr>
            <w:tcW w:w="1276" w:type="dxa"/>
            <w:tcBorders>
              <w:top w:val="single" w:sz="4" w:space="0" w:color="auto"/>
              <w:left w:val="single" w:sz="4" w:space="0" w:color="auto"/>
              <w:bottom w:val="single" w:sz="4" w:space="0" w:color="auto"/>
              <w:right w:val="single" w:sz="4" w:space="0" w:color="auto"/>
            </w:tcBorders>
          </w:tcPr>
          <w:p w14:paraId="72CAD27E"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w:t>
            </w:r>
            <w:r w:rsidR="001920D5" w:rsidRPr="001316B0">
              <w:rPr>
                <w:rFonts w:ascii="Arial" w:hAnsi="Arial" w:cs="Arial"/>
                <w:lang w:val="en-GB" w:eastAsia="pt-BR"/>
              </w:rPr>
              <w:t>91</w:t>
            </w:r>
            <w:r w:rsidR="003B27CF" w:rsidRPr="001316B0">
              <w:rPr>
                <w:rFonts w:ascii="Arial" w:hAnsi="Arial" w:cs="Arial"/>
                <w:lang w:val="en-GB" w:eastAsia="pt-BR"/>
              </w:rPr>
              <w:t>.</w:t>
            </w:r>
            <w:r w:rsidR="001920D5" w:rsidRPr="001316B0">
              <w:rPr>
                <w:rFonts w:ascii="Arial" w:hAnsi="Arial" w:cs="Arial"/>
                <w:lang w:val="en-GB" w:eastAsia="pt-BR"/>
              </w:rPr>
              <w:t>5</w:t>
            </w:r>
          </w:p>
        </w:tc>
      </w:tr>
      <w:tr w:rsidR="008D5D0F" w:rsidRPr="001316B0" w14:paraId="05630FA7"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393D1832" w14:textId="77777777" w:rsidR="008D5D0F" w:rsidRPr="001316B0" w:rsidRDefault="002E577B" w:rsidP="002904EE">
            <w:pPr>
              <w:spacing w:line="360" w:lineRule="auto"/>
              <w:jc w:val="both"/>
              <w:rPr>
                <w:rFonts w:ascii="Arial" w:hAnsi="Arial" w:cs="Arial"/>
                <w:lang w:val="en-GB" w:eastAsia="pt-BR"/>
              </w:rPr>
            </w:pPr>
            <w:r w:rsidRPr="001316B0">
              <w:rPr>
                <w:rFonts w:ascii="Arial" w:hAnsi="Arial" w:cs="Arial"/>
                <w:lang w:val="en-GB" w:eastAsia="pt-BR"/>
              </w:rPr>
              <w:t>GDP</w:t>
            </w:r>
          </w:p>
          <w:p w14:paraId="77D5FF24" w14:textId="77777777" w:rsidR="008D5D0F" w:rsidRPr="001316B0" w:rsidRDefault="0064571F" w:rsidP="002E577B">
            <w:pPr>
              <w:spacing w:line="360" w:lineRule="auto"/>
              <w:jc w:val="both"/>
              <w:rPr>
                <w:rFonts w:ascii="Arial" w:hAnsi="Arial" w:cs="Arial"/>
                <w:lang w:val="en-GB" w:eastAsia="pt-BR"/>
              </w:rPr>
            </w:pPr>
            <w:r w:rsidRPr="001316B0">
              <w:rPr>
                <w:rFonts w:ascii="Arial" w:hAnsi="Arial" w:cs="Arial"/>
                <w:lang w:val="en-GB" w:eastAsia="pt-BR"/>
              </w:rPr>
              <w:t>(</w:t>
            </w:r>
            <w:r w:rsidR="002E577B" w:rsidRPr="001316B0">
              <w:rPr>
                <w:rFonts w:ascii="Arial" w:hAnsi="Arial" w:cs="Arial"/>
                <w:lang w:val="en-GB" w:eastAsia="pt-BR"/>
              </w:rPr>
              <w:t xml:space="preserve">billions of </w:t>
            </w:r>
            <w:r w:rsidRPr="001316B0">
              <w:rPr>
                <w:rFonts w:ascii="Arial" w:hAnsi="Arial" w:cs="Arial"/>
                <w:lang w:val="en-GB" w:eastAsia="pt-BR"/>
              </w:rPr>
              <w:t>US$ 2009</w:t>
            </w:r>
            <w:r w:rsidR="008D5D0F" w:rsidRPr="001316B0">
              <w:rPr>
                <w:rFonts w:ascii="Arial" w:hAnsi="Arial" w:cs="Arial"/>
                <w:lang w:val="en-GB" w:eastAsia="pt-BR"/>
              </w:rPr>
              <w:t>)</w:t>
            </w:r>
          </w:p>
        </w:tc>
        <w:tc>
          <w:tcPr>
            <w:tcW w:w="1290" w:type="dxa"/>
            <w:tcBorders>
              <w:top w:val="single" w:sz="4" w:space="0" w:color="auto"/>
              <w:left w:val="single" w:sz="4" w:space="0" w:color="auto"/>
              <w:bottom w:val="single" w:sz="4" w:space="0" w:color="auto"/>
              <w:right w:val="single" w:sz="4" w:space="0" w:color="auto"/>
            </w:tcBorders>
          </w:tcPr>
          <w:p w14:paraId="67AA0522"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938</w:t>
            </w:r>
            <w:r w:rsidR="003B27CF" w:rsidRPr="001316B0">
              <w:rPr>
                <w:rFonts w:ascii="Arial" w:hAnsi="Arial" w:cs="Arial"/>
                <w:lang w:val="en-GB" w:eastAsia="pt-BR"/>
              </w:rPr>
              <w:t>.</w:t>
            </w:r>
            <w:r w:rsidRPr="001316B0">
              <w:rPr>
                <w:rFonts w:ascii="Arial" w:hAnsi="Arial" w:cs="Arial"/>
                <w:lang w:val="en-GB" w:eastAsia="pt-BR"/>
              </w:rPr>
              <w:t>0</w:t>
            </w:r>
          </w:p>
        </w:tc>
        <w:tc>
          <w:tcPr>
            <w:tcW w:w="1417" w:type="dxa"/>
            <w:tcBorders>
              <w:top w:val="single" w:sz="4" w:space="0" w:color="auto"/>
              <w:left w:val="single" w:sz="4" w:space="0" w:color="auto"/>
              <w:bottom w:val="single" w:sz="4" w:space="0" w:color="auto"/>
              <w:right w:val="single" w:sz="4" w:space="0" w:color="auto"/>
            </w:tcBorders>
          </w:tcPr>
          <w:p w14:paraId="0093C957"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1183</w:t>
            </w:r>
            <w:r w:rsidR="003B27CF" w:rsidRPr="001316B0">
              <w:rPr>
                <w:rFonts w:ascii="Arial" w:hAnsi="Arial" w:cs="Arial"/>
                <w:lang w:val="en-GB" w:eastAsia="pt-BR"/>
              </w:rPr>
              <w:t>.</w:t>
            </w:r>
            <w:r w:rsidRPr="001316B0">
              <w:rPr>
                <w:rFonts w:ascii="Arial" w:hAnsi="Arial" w:cs="Arial"/>
                <w:lang w:val="en-GB" w:eastAsia="pt-BR"/>
              </w:rPr>
              <w:t>4</w:t>
            </w:r>
          </w:p>
        </w:tc>
        <w:tc>
          <w:tcPr>
            <w:tcW w:w="1276" w:type="dxa"/>
            <w:tcBorders>
              <w:top w:val="single" w:sz="4" w:space="0" w:color="auto"/>
              <w:left w:val="single" w:sz="4" w:space="0" w:color="auto"/>
              <w:bottom w:val="single" w:sz="4" w:space="0" w:color="auto"/>
              <w:right w:val="single" w:sz="4" w:space="0" w:color="auto"/>
            </w:tcBorders>
          </w:tcPr>
          <w:p w14:paraId="409FB5DE"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1357</w:t>
            </w:r>
            <w:r w:rsidR="003B27CF" w:rsidRPr="001316B0">
              <w:rPr>
                <w:rFonts w:ascii="Arial" w:hAnsi="Arial" w:cs="Arial"/>
                <w:lang w:val="en-GB" w:eastAsia="pt-BR"/>
              </w:rPr>
              <w:t>.</w:t>
            </w:r>
            <w:r w:rsidRPr="001316B0">
              <w:rPr>
                <w:rFonts w:ascii="Arial" w:hAnsi="Arial" w:cs="Arial"/>
                <w:lang w:val="en-GB" w:eastAsia="pt-BR"/>
              </w:rPr>
              <w:t>5</w:t>
            </w:r>
          </w:p>
        </w:tc>
        <w:tc>
          <w:tcPr>
            <w:tcW w:w="1276" w:type="dxa"/>
            <w:tcBorders>
              <w:top w:val="single" w:sz="4" w:space="0" w:color="auto"/>
              <w:left w:val="single" w:sz="4" w:space="0" w:color="auto"/>
              <w:bottom w:val="single" w:sz="4" w:space="0" w:color="auto"/>
              <w:right w:val="single" w:sz="4" w:space="0" w:color="auto"/>
            </w:tcBorders>
          </w:tcPr>
          <w:p w14:paraId="4A10E662"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1576</w:t>
            </w:r>
            <w:r w:rsidR="003B27CF" w:rsidRPr="001316B0">
              <w:rPr>
                <w:rFonts w:ascii="Arial" w:hAnsi="Arial" w:cs="Arial"/>
                <w:lang w:val="en-GB" w:eastAsia="pt-BR"/>
              </w:rPr>
              <w:t>.</w:t>
            </w:r>
            <w:r w:rsidRPr="001316B0">
              <w:rPr>
                <w:rFonts w:ascii="Arial" w:hAnsi="Arial" w:cs="Arial"/>
                <w:lang w:val="en-GB" w:eastAsia="pt-BR"/>
              </w:rPr>
              <w:t>9</w:t>
            </w:r>
          </w:p>
        </w:tc>
      </w:tr>
      <w:tr w:rsidR="008D5D0F" w:rsidRPr="001316B0" w14:paraId="6ED3125D"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445C292C" w14:textId="77777777" w:rsidR="008D5D0F" w:rsidRPr="001316B0" w:rsidRDefault="00F81EA8" w:rsidP="00362D0A">
            <w:pPr>
              <w:spacing w:line="360" w:lineRule="auto"/>
              <w:jc w:val="both"/>
              <w:rPr>
                <w:rFonts w:ascii="Arial" w:hAnsi="Arial" w:cs="Arial"/>
                <w:lang w:val="en-GB" w:eastAsia="pt-BR"/>
              </w:rPr>
            </w:pPr>
            <w:r w:rsidRPr="001316B0">
              <w:rPr>
                <w:rFonts w:ascii="Arial" w:hAnsi="Arial" w:cs="Arial"/>
                <w:lang w:val="en-GB" w:eastAsia="pt-BR"/>
              </w:rPr>
              <w:t>Domestic Energy Supply</w:t>
            </w:r>
            <w:r w:rsidR="008D5D0F" w:rsidRPr="001316B0">
              <w:rPr>
                <w:rFonts w:ascii="Arial" w:hAnsi="Arial" w:cs="Arial"/>
                <w:lang w:val="en-GB" w:eastAsia="pt-BR"/>
              </w:rPr>
              <w:t xml:space="preserve"> (</w:t>
            </w:r>
            <w:proofErr w:type="spellStart"/>
            <w:r w:rsidR="008D5D0F" w:rsidRPr="001316B0">
              <w:rPr>
                <w:rFonts w:ascii="Arial" w:hAnsi="Arial" w:cs="Arial"/>
                <w:lang w:val="en-GB" w:eastAsia="pt-BR"/>
              </w:rPr>
              <w:t>Mt</w:t>
            </w:r>
            <w:r w:rsidR="00362D0A" w:rsidRPr="001316B0">
              <w:rPr>
                <w:rFonts w:ascii="Arial" w:hAnsi="Arial" w:cs="Arial"/>
                <w:lang w:val="en-GB" w:eastAsia="pt-BR"/>
              </w:rPr>
              <w:t>oe</w:t>
            </w:r>
            <w:proofErr w:type="spellEnd"/>
            <w:r w:rsidR="008D5D0F" w:rsidRPr="001316B0">
              <w:rPr>
                <w:rFonts w:ascii="Arial" w:hAnsi="Arial" w:cs="Arial"/>
                <w:lang w:val="en-GB" w:eastAsia="pt-BR"/>
              </w:rPr>
              <w:t xml:space="preserve"> / </w:t>
            </w:r>
            <w:r w:rsidRPr="001316B0">
              <w:rPr>
                <w:rFonts w:ascii="Arial" w:hAnsi="Arial" w:cs="Arial"/>
                <w:lang w:val="en-GB" w:eastAsia="pt-BR"/>
              </w:rPr>
              <w:t>year</w:t>
            </w:r>
            <w:r w:rsidR="008D5D0F" w:rsidRPr="001316B0">
              <w:rPr>
                <w:rFonts w:ascii="Arial" w:hAnsi="Arial" w:cs="Arial"/>
                <w:lang w:val="en-GB" w:eastAsia="pt-BR"/>
              </w:rPr>
              <w:t>)</w:t>
            </w:r>
          </w:p>
        </w:tc>
        <w:tc>
          <w:tcPr>
            <w:tcW w:w="1290" w:type="dxa"/>
            <w:tcBorders>
              <w:top w:val="single" w:sz="4" w:space="0" w:color="auto"/>
              <w:left w:val="single" w:sz="4" w:space="0" w:color="auto"/>
              <w:bottom w:val="single" w:sz="4" w:space="0" w:color="auto"/>
              <w:right w:val="single" w:sz="4" w:space="0" w:color="auto"/>
            </w:tcBorders>
          </w:tcPr>
          <w:p w14:paraId="1EA45CF8"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142</w:t>
            </w:r>
            <w:r w:rsidR="003B27CF" w:rsidRPr="001316B0">
              <w:rPr>
                <w:rFonts w:ascii="Arial" w:hAnsi="Arial" w:cs="Arial"/>
                <w:lang w:val="en-GB" w:eastAsia="pt-BR"/>
              </w:rPr>
              <w:t>.</w:t>
            </w:r>
            <w:r w:rsidRPr="001316B0">
              <w:rPr>
                <w:rFonts w:ascii="Arial" w:hAnsi="Arial" w:cs="Arial"/>
                <w:lang w:val="en-GB" w:eastAsia="pt-BR"/>
              </w:rPr>
              <w:t>0</w:t>
            </w:r>
          </w:p>
        </w:tc>
        <w:tc>
          <w:tcPr>
            <w:tcW w:w="1417" w:type="dxa"/>
            <w:tcBorders>
              <w:top w:val="single" w:sz="4" w:space="0" w:color="auto"/>
              <w:left w:val="single" w:sz="4" w:space="0" w:color="auto"/>
              <w:bottom w:val="single" w:sz="4" w:space="0" w:color="auto"/>
              <w:right w:val="single" w:sz="4" w:space="0" w:color="auto"/>
            </w:tcBorders>
          </w:tcPr>
          <w:p w14:paraId="228F63B9"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190</w:t>
            </w:r>
            <w:r w:rsidR="003B27CF" w:rsidRPr="001316B0">
              <w:rPr>
                <w:rFonts w:ascii="Arial" w:hAnsi="Arial" w:cs="Arial"/>
                <w:lang w:val="en-GB" w:eastAsia="pt-BR"/>
              </w:rPr>
              <w:t>.</w:t>
            </w:r>
            <w:r w:rsidRPr="001316B0">
              <w:rPr>
                <w:rFonts w:ascii="Arial" w:hAnsi="Arial" w:cs="Arial"/>
                <w:lang w:val="en-GB" w:eastAsia="pt-BR"/>
              </w:rPr>
              <w:t>6</w:t>
            </w:r>
          </w:p>
        </w:tc>
        <w:tc>
          <w:tcPr>
            <w:tcW w:w="1276" w:type="dxa"/>
            <w:tcBorders>
              <w:top w:val="single" w:sz="4" w:space="0" w:color="auto"/>
              <w:left w:val="single" w:sz="4" w:space="0" w:color="auto"/>
              <w:bottom w:val="single" w:sz="4" w:space="0" w:color="auto"/>
              <w:right w:val="single" w:sz="4" w:space="0" w:color="auto"/>
            </w:tcBorders>
          </w:tcPr>
          <w:p w14:paraId="71F16A93"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218</w:t>
            </w:r>
            <w:r w:rsidR="003B27CF" w:rsidRPr="001316B0">
              <w:rPr>
                <w:rFonts w:ascii="Arial" w:hAnsi="Arial" w:cs="Arial"/>
                <w:lang w:val="en-GB" w:eastAsia="pt-BR"/>
              </w:rPr>
              <w:t>.</w:t>
            </w:r>
            <w:r w:rsidRPr="001316B0">
              <w:rPr>
                <w:rFonts w:ascii="Arial" w:hAnsi="Arial" w:cs="Arial"/>
                <w:lang w:val="en-GB" w:eastAsia="pt-BR"/>
              </w:rPr>
              <w:t>7</w:t>
            </w:r>
          </w:p>
        </w:tc>
        <w:tc>
          <w:tcPr>
            <w:tcW w:w="1276" w:type="dxa"/>
            <w:tcBorders>
              <w:top w:val="single" w:sz="4" w:space="0" w:color="auto"/>
              <w:left w:val="single" w:sz="4" w:space="0" w:color="auto"/>
              <w:bottom w:val="single" w:sz="4" w:space="0" w:color="auto"/>
              <w:right w:val="single" w:sz="4" w:space="0" w:color="auto"/>
            </w:tcBorders>
          </w:tcPr>
          <w:p w14:paraId="55927659"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2</w:t>
            </w:r>
            <w:r w:rsidR="001920D5" w:rsidRPr="001316B0">
              <w:rPr>
                <w:rFonts w:ascii="Arial" w:hAnsi="Arial" w:cs="Arial"/>
                <w:lang w:val="en-GB" w:eastAsia="pt-BR"/>
              </w:rPr>
              <w:t>43</w:t>
            </w:r>
            <w:r w:rsidR="003B27CF" w:rsidRPr="001316B0">
              <w:rPr>
                <w:rFonts w:ascii="Arial" w:hAnsi="Arial" w:cs="Arial"/>
                <w:lang w:val="en-GB" w:eastAsia="pt-BR"/>
              </w:rPr>
              <w:t>.</w:t>
            </w:r>
            <w:r w:rsidR="001920D5" w:rsidRPr="001316B0">
              <w:rPr>
                <w:rFonts w:ascii="Arial" w:hAnsi="Arial" w:cs="Arial"/>
                <w:lang w:val="en-GB" w:eastAsia="pt-BR"/>
              </w:rPr>
              <w:t>9</w:t>
            </w:r>
          </w:p>
        </w:tc>
      </w:tr>
      <w:tr w:rsidR="008D5D0F" w:rsidRPr="001316B0" w14:paraId="30DA4486"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3274786A" w14:textId="77777777" w:rsidR="008D5D0F" w:rsidRPr="001316B0" w:rsidRDefault="00F81EA8" w:rsidP="002904EE">
            <w:pPr>
              <w:spacing w:line="360" w:lineRule="auto"/>
              <w:jc w:val="both"/>
              <w:rPr>
                <w:rFonts w:ascii="Arial" w:hAnsi="Arial" w:cs="Arial"/>
                <w:lang w:val="en-GB" w:eastAsia="pt-BR"/>
              </w:rPr>
            </w:pPr>
            <w:r w:rsidRPr="001316B0">
              <w:rPr>
                <w:rFonts w:ascii="Arial" w:hAnsi="Arial" w:cs="Arial"/>
                <w:lang w:val="en-GB" w:eastAsia="pt-BR"/>
              </w:rPr>
              <w:t xml:space="preserve">GDP </w:t>
            </w:r>
            <w:r w:rsidR="008D5D0F" w:rsidRPr="001316B0">
              <w:rPr>
                <w:rFonts w:ascii="Arial" w:hAnsi="Arial" w:cs="Arial"/>
                <w:lang w:val="en-GB" w:eastAsia="pt-BR"/>
              </w:rPr>
              <w:t>/ capita</w:t>
            </w:r>
          </w:p>
          <w:p w14:paraId="393C5373" w14:textId="77777777" w:rsidR="008D5D0F" w:rsidRPr="001316B0" w:rsidRDefault="001920D5" w:rsidP="002904EE">
            <w:pPr>
              <w:spacing w:line="360" w:lineRule="auto"/>
              <w:jc w:val="both"/>
              <w:rPr>
                <w:rFonts w:ascii="Arial" w:hAnsi="Arial" w:cs="Arial"/>
                <w:lang w:val="en-GB" w:eastAsia="pt-BR"/>
              </w:rPr>
            </w:pPr>
            <w:r w:rsidRPr="001316B0">
              <w:rPr>
                <w:rFonts w:ascii="Arial" w:hAnsi="Arial" w:cs="Arial"/>
                <w:lang w:val="en-GB" w:eastAsia="pt-BR"/>
              </w:rPr>
              <w:t>(US$ 2009</w:t>
            </w:r>
            <w:r w:rsidR="008D5D0F" w:rsidRPr="001316B0">
              <w:rPr>
                <w:rFonts w:ascii="Arial" w:hAnsi="Arial" w:cs="Arial"/>
                <w:lang w:val="en-GB" w:eastAsia="pt-BR"/>
              </w:rPr>
              <w:t>)</w:t>
            </w:r>
          </w:p>
        </w:tc>
        <w:tc>
          <w:tcPr>
            <w:tcW w:w="1290" w:type="dxa"/>
            <w:tcBorders>
              <w:top w:val="single" w:sz="4" w:space="0" w:color="auto"/>
              <w:left w:val="single" w:sz="4" w:space="0" w:color="auto"/>
              <w:bottom w:val="single" w:sz="4" w:space="0" w:color="auto"/>
              <w:right w:val="single" w:sz="4" w:space="0" w:color="auto"/>
            </w:tcBorders>
          </w:tcPr>
          <w:p w14:paraId="5A5A2D8E"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6398</w:t>
            </w:r>
          </w:p>
        </w:tc>
        <w:tc>
          <w:tcPr>
            <w:tcW w:w="1417" w:type="dxa"/>
            <w:tcBorders>
              <w:top w:val="single" w:sz="4" w:space="0" w:color="auto"/>
              <w:left w:val="single" w:sz="4" w:space="0" w:color="auto"/>
              <w:bottom w:val="single" w:sz="4" w:space="0" w:color="auto"/>
              <w:right w:val="single" w:sz="4" w:space="0" w:color="auto"/>
            </w:tcBorders>
          </w:tcPr>
          <w:p w14:paraId="50928510"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6908</w:t>
            </w:r>
          </w:p>
        </w:tc>
        <w:tc>
          <w:tcPr>
            <w:tcW w:w="1276" w:type="dxa"/>
            <w:tcBorders>
              <w:top w:val="single" w:sz="4" w:space="0" w:color="auto"/>
              <w:left w:val="single" w:sz="4" w:space="0" w:color="auto"/>
              <w:bottom w:val="single" w:sz="4" w:space="0" w:color="auto"/>
              <w:right w:val="single" w:sz="4" w:space="0" w:color="auto"/>
            </w:tcBorders>
          </w:tcPr>
          <w:p w14:paraId="2007A6E8"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7402</w:t>
            </w:r>
          </w:p>
        </w:tc>
        <w:tc>
          <w:tcPr>
            <w:tcW w:w="1276" w:type="dxa"/>
            <w:tcBorders>
              <w:top w:val="single" w:sz="4" w:space="0" w:color="auto"/>
              <w:left w:val="single" w:sz="4" w:space="0" w:color="auto"/>
              <w:bottom w:val="single" w:sz="4" w:space="0" w:color="auto"/>
              <w:right w:val="single" w:sz="4" w:space="0" w:color="auto"/>
            </w:tcBorders>
          </w:tcPr>
          <w:p w14:paraId="609AE1EE"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8234</w:t>
            </w:r>
          </w:p>
        </w:tc>
      </w:tr>
      <w:tr w:rsidR="008D5D0F" w:rsidRPr="001316B0" w14:paraId="4D23375C"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40839315" w14:textId="77777777" w:rsidR="008D5D0F" w:rsidRPr="001316B0" w:rsidRDefault="00950E22" w:rsidP="002904EE">
            <w:pPr>
              <w:spacing w:line="360" w:lineRule="auto"/>
              <w:jc w:val="both"/>
              <w:rPr>
                <w:rFonts w:ascii="Arial" w:hAnsi="Arial" w:cs="Arial"/>
                <w:lang w:val="en-GB" w:eastAsia="pt-BR"/>
              </w:rPr>
            </w:pPr>
            <w:r>
              <w:rPr>
                <w:rFonts w:ascii="Arial" w:hAnsi="Arial" w:cs="Arial"/>
                <w:lang w:val="en-GB" w:eastAsia="pt-BR"/>
              </w:rPr>
              <w:lastRenderedPageBreak/>
              <w:t>DES</w:t>
            </w:r>
            <w:r w:rsidR="008D5D0F" w:rsidRPr="001316B0">
              <w:rPr>
                <w:rFonts w:ascii="Arial" w:hAnsi="Arial" w:cs="Arial"/>
                <w:lang w:val="en-GB" w:eastAsia="pt-BR"/>
              </w:rPr>
              <w:t xml:space="preserve"> / capita</w:t>
            </w:r>
          </w:p>
          <w:p w14:paraId="12AE74A2" w14:textId="77777777" w:rsidR="008D5D0F" w:rsidRPr="001316B0" w:rsidRDefault="008D5D0F" w:rsidP="002904EE">
            <w:pPr>
              <w:spacing w:line="360" w:lineRule="auto"/>
              <w:jc w:val="both"/>
              <w:rPr>
                <w:rFonts w:ascii="Arial" w:hAnsi="Arial" w:cs="Arial"/>
                <w:lang w:val="en-GB" w:eastAsia="pt-BR"/>
              </w:rPr>
            </w:pPr>
            <w:r w:rsidRPr="001316B0">
              <w:rPr>
                <w:rFonts w:ascii="Arial" w:hAnsi="Arial" w:cs="Arial"/>
                <w:lang w:val="en-GB" w:eastAsia="pt-BR"/>
              </w:rPr>
              <w:t>(</w:t>
            </w:r>
            <w:r w:rsidR="008F2DD2">
              <w:rPr>
                <w:rFonts w:ascii="Arial" w:hAnsi="Arial" w:cs="Arial"/>
                <w:lang w:val="en-GB" w:eastAsia="pt-BR"/>
              </w:rPr>
              <w:t>t</w:t>
            </w:r>
            <w:r w:rsidR="0047697B" w:rsidRPr="001316B0">
              <w:rPr>
                <w:rFonts w:ascii="Arial" w:hAnsi="Arial" w:cs="Arial"/>
                <w:lang w:val="en-GB" w:eastAsia="pt-BR"/>
              </w:rPr>
              <w:t>oe</w:t>
            </w:r>
            <w:r w:rsidRPr="001316B0">
              <w:rPr>
                <w:rFonts w:ascii="Arial" w:hAnsi="Arial" w:cs="Arial"/>
                <w:lang w:val="en-GB" w:eastAsia="pt-BR"/>
              </w:rPr>
              <w:t xml:space="preserve"> / </w:t>
            </w:r>
            <w:r w:rsidR="00D71BE8" w:rsidRPr="001316B0">
              <w:rPr>
                <w:rFonts w:ascii="Arial" w:hAnsi="Arial" w:cs="Arial"/>
                <w:lang w:val="en-GB" w:eastAsia="pt-BR"/>
              </w:rPr>
              <w:t>in</w:t>
            </w:r>
            <w:r w:rsidRPr="001316B0">
              <w:rPr>
                <w:rFonts w:ascii="Arial" w:hAnsi="Arial" w:cs="Arial"/>
                <w:lang w:val="en-GB" w:eastAsia="pt-BR"/>
              </w:rPr>
              <w:t>hab</w:t>
            </w:r>
            <w:r w:rsidR="00D71BE8" w:rsidRPr="001316B0">
              <w:rPr>
                <w:rFonts w:ascii="Arial" w:hAnsi="Arial" w:cs="Arial"/>
                <w:lang w:val="en-GB" w:eastAsia="pt-BR"/>
              </w:rPr>
              <w:t>itant</w:t>
            </w:r>
            <w:r w:rsidRPr="001316B0">
              <w:rPr>
                <w:rFonts w:ascii="Arial" w:hAnsi="Arial" w:cs="Arial"/>
                <w:lang w:val="en-GB" w:eastAsia="pt-BR"/>
              </w:rPr>
              <w:t>)</w:t>
            </w:r>
          </w:p>
        </w:tc>
        <w:tc>
          <w:tcPr>
            <w:tcW w:w="1290" w:type="dxa"/>
            <w:tcBorders>
              <w:top w:val="single" w:sz="4" w:space="0" w:color="auto"/>
              <w:left w:val="single" w:sz="4" w:space="0" w:color="auto"/>
              <w:bottom w:val="single" w:sz="4" w:space="0" w:color="auto"/>
              <w:right w:val="single" w:sz="4" w:space="0" w:color="auto"/>
            </w:tcBorders>
          </w:tcPr>
          <w:p w14:paraId="49BD22D3" w14:textId="77777777" w:rsidR="008D5D0F" w:rsidRPr="001316B0" w:rsidRDefault="001920D5" w:rsidP="002904EE">
            <w:pPr>
              <w:spacing w:line="360" w:lineRule="auto"/>
              <w:jc w:val="center"/>
              <w:rPr>
                <w:rFonts w:ascii="Arial" w:hAnsi="Arial" w:cs="Arial"/>
                <w:lang w:val="en-GB" w:eastAsia="pt-BR"/>
              </w:rPr>
            </w:pPr>
            <w:r w:rsidRPr="001316B0">
              <w:rPr>
                <w:rFonts w:ascii="Arial" w:hAnsi="Arial" w:cs="Arial"/>
                <w:lang w:val="en-GB" w:eastAsia="pt-BR"/>
              </w:rPr>
              <w:t>0</w:t>
            </w:r>
            <w:r w:rsidR="003B27CF" w:rsidRPr="001316B0">
              <w:rPr>
                <w:rFonts w:ascii="Arial" w:hAnsi="Arial" w:cs="Arial"/>
                <w:lang w:val="en-GB" w:eastAsia="pt-BR"/>
              </w:rPr>
              <w:t>.</w:t>
            </w:r>
            <w:r w:rsidRPr="001316B0">
              <w:rPr>
                <w:rFonts w:ascii="Arial" w:hAnsi="Arial" w:cs="Arial"/>
                <w:lang w:val="en-GB" w:eastAsia="pt-BR"/>
              </w:rPr>
              <w:t>969</w:t>
            </w:r>
          </w:p>
        </w:tc>
        <w:tc>
          <w:tcPr>
            <w:tcW w:w="1417" w:type="dxa"/>
            <w:tcBorders>
              <w:top w:val="single" w:sz="4" w:space="0" w:color="auto"/>
              <w:left w:val="single" w:sz="4" w:space="0" w:color="auto"/>
              <w:bottom w:val="single" w:sz="4" w:space="0" w:color="auto"/>
              <w:right w:val="single" w:sz="4" w:space="0" w:color="auto"/>
            </w:tcBorders>
          </w:tcPr>
          <w:p w14:paraId="77EDC66D"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w:t>
            </w:r>
            <w:r w:rsidR="003B27CF" w:rsidRPr="001316B0">
              <w:rPr>
                <w:rFonts w:ascii="Arial" w:hAnsi="Arial" w:cs="Arial"/>
                <w:lang w:val="en-GB" w:eastAsia="pt-BR"/>
              </w:rPr>
              <w:t>.</w:t>
            </w:r>
            <w:r w:rsidR="0064571F" w:rsidRPr="001316B0">
              <w:rPr>
                <w:rFonts w:ascii="Arial" w:hAnsi="Arial" w:cs="Arial"/>
                <w:lang w:val="en-GB" w:eastAsia="pt-BR"/>
              </w:rPr>
              <w:t>113</w:t>
            </w:r>
          </w:p>
        </w:tc>
        <w:tc>
          <w:tcPr>
            <w:tcW w:w="1276" w:type="dxa"/>
            <w:tcBorders>
              <w:top w:val="single" w:sz="4" w:space="0" w:color="auto"/>
              <w:left w:val="single" w:sz="4" w:space="0" w:color="auto"/>
              <w:bottom w:val="single" w:sz="4" w:space="0" w:color="auto"/>
              <w:right w:val="single" w:sz="4" w:space="0" w:color="auto"/>
            </w:tcBorders>
          </w:tcPr>
          <w:p w14:paraId="77E23243"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1</w:t>
            </w:r>
            <w:r w:rsidR="003B27CF" w:rsidRPr="001316B0">
              <w:rPr>
                <w:rFonts w:ascii="Arial" w:hAnsi="Arial" w:cs="Arial"/>
                <w:lang w:val="en-GB" w:eastAsia="pt-BR"/>
              </w:rPr>
              <w:t>.</w:t>
            </w:r>
            <w:r w:rsidRPr="001316B0">
              <w:rPr>
                <w:rFonts w:ascii="Arial" w:hAnsi="Arial" w:cs="Arial"/>
                <w:lang w:val="en-GB" w:eastAsia="pt-BR"/>
              </w:rPr>
              <w:t>1</w:t>
            </w:r>
            <w:r w:rsidR="001920D5" w:rsidRPr="001316B0">
              <w:rPr>
                <w:rFonts w:ascii="Arial" w:hAnsi="Arial" w:cs="Arial"/>
                <w:lang w:val="en-GB" w:eastAsia="pt-BR"/>
              </w:rPr>
              <w:t>92</w:t>
            </w:r>
          </w:p>
        </w:tc>
        <w:tc>
          <w:tcPr>
            <w:tcW w:w="1276" w:type="dxa"/>
            <w:tcBorders>
              <w:top w:val="single" w:sz="4" w:space="0" w:color="auto"/>
              <w:left w:val="single" w:sz="4" w:space="0" w:color="auto"/>
              <w:bottom w:val="single" w:sz="4" w:space="0" w:color="auto"/>
              <w:right w:val="single" w:sz="4" w:space="0" w:color="auto"/>
            </w:tcBorders>
          </w:tcPr>
          <w:p w14:paraId="3BAF3F7B"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1</w:t>
            </w:r>
            <w:r w:rsidR="003B27CF" w:rsidRPr="001316B0">
              <w:rPr>
                <w:rFonts w:ascii="Arial" w:hAnsi="Arial" w:cs="Arial"/>
                <w:lang w:val="en-GB" w:eastAsia="pt-BR"/>
              </w:rPr>
              <w:t>.</w:t>
            </w:r>
            <w:r w:rsidR="001920D5" w:rsidRPr="001316B0">
              <w:rPr>
                <w:rFonts w:ascii="Arial" w:hAnsi="Arial" w:cs="Arial"/>
                <w:lang w:val="en-GB" w:eastAsia="pt-BR"/>
              </w:rPr>
              <w:t>274</w:t>
            </w:r>
          </w:p>
        </w:tc>
      </w:tr>
      <w:tr w:rsidR="008D5D0F" w:rsidRPr="001316B0" w14:paraId="18604B8C" w14:textId="77777777" w:rsidTr="00E60A94">
        <w:trPr>
          <w:jc w:val="center"/>
        </w:trPr>
        <w:tc>
          <w:tcPr>
            <w:tcW w:w="3033" w:type="dxa"/>
            <w:tcBorders>
              <w:top w:val="single" w:sz="4" w:space="0" w:color="auto"/>
              <w:left w:val="single" w:sz="4" w:space="0" w:color="auto"/>
              <w:bottom w:val="single" w:sz="4" w:space="0" w:color="auto"/>
              <w:right w:val="single" w:sz="4" w:space="0" w:color="auto"/>
            </w:tcBorders>
          </w:tcPr>
          <w:p w14:paraId="5B0FB0EB" w14:textId="77777777" w:rsidR="008D5D0F" w:rsidRPr="001316B0" w:rsidRDefault="00950E22" w:rsidP="002904EE">
            <w:pPr>
              <w:spacing w:line="360" w:lineRule="auto"/>
              <w:jc w:val="both"/>
              <w:rPr>
                <w:rFonts w:ascii="Arial" w:hAnsi="Arial" w:cs="Arial"/>
                <w:lang w:val="en-GB" w:eastAsia="pt-BR"/>
              </w:rPr>
            </w:pPr>
            <w:r>
              <w:rPr>
                <w:rFonts w:ascii="Arial" w:hAnsi="Arial" w:cs="Arial"/>
                <w:lang w:val="en-GB" w:eastAsia="pt-BR"/>
              </w:rPr>
              <w:t>DES</w:t>
            </w:r>
            <w:r w:rsidR="008D5D0F" w:rsidRPr="001316B0">
              <w:rPr>
                <w:rFonts w:ascii="Arial" w:hAnsi="Arial" w:cs="Arial"/>
                <w:lang w:val="en-GB" w:eastAsia="pt-BR"/>
              </w:rPr>
              <w:t xml:space="preserve"> / </w:t>
            </w:r>
            <w:r>
              <w:rPr>
                <w:rFonts w:ascii="Arial" w:hAnsi="Arial" w:cs="Arial"/>
                <w:lang w:val="en-GB" w:eastAsia="pt-BR"/>
              </w:rPr>
              <w:t>GDP</w:t>
            </w:r>
          </w:p>
          <w:p w14:paraId="040301D0" w14:textId="77777777" w:rsidR="008D5D0F" w:rsidRPr="001316B0" w:rsidRDefault="008D5D0F" w:rsidP="002904EE">
            <w:pPr>
              <w:spacing w:line="360" w:lineRule="auto"/>
              <w:jc w:val="both"/>
              <w:rPr>
                <w:rFonts w:ascii="Arial" w:hAnsi="Arial" w:cs="Arial"/>
                <w:lang w:val="en-GB" w:eastAsia="pt-BR"/>
              </w:rPr>
            </w:pPr>
            <w:r w:rsidRPr="001316B0">
              <w:rPr>
                <w:rFonts w:ascii="Arial" w:hAnsi="Arial" w:cs="Arial"/>
                <w:lang w:val="en-GB" w:eastAsia="pt-BR"/>
              </w:rPr>
              <w:t>(</w:t>
            </w:r>
            <w:r w:rsidR="008F2DD2">
              <w:rPr>
                <w:rFonts w:ascii="Arial" w:hAnsi="Arial" w:cs="Arial"/>
                <w:lang w:val="en-GB" w:eastAsia="pt-BR"/>
              </w:rPr>
              <w:t>t</w:t>
            </w:r>
            <w:r w:rsidR="0047697B" w:rsidRPr="001316B0">
              <w:rPr>
                <w:rFonts w:ascii="Arial" w:hAnsi="Arial" w:cs="Arial"/>
                <w:lang w:val="en-GB" w:eastAsia="pt-BR"/>
              </w:rPr>
              <w:t>oe</w:t>
            </w:r>
            <w:r w:rsidRPr="001316B0">
              <w:rPr>
                <w:rFonts w:ascii="Arial" w:hAnsi="Arial" w:cs="Arial"/>
                <w:lang w:val="en-GB" w:eastAsia="pt-BR"/>
              </w:rPr>
              <w:t xml:space="preserve"> / 10</w:t>
            </w:r>
            <w:r w:rsidRPr="001316B0">
              <w:rPr>
                <w:rFonts w:ascii="Arial" w:hAnsi="Arial" w:cs="Arial"/>
                <w:vertAlign w:val="superscript"/>
                <w:lang w:val="en-GB" w:eastAsia="pt-BR"/>
              </w:rPr>
              <w:t>3</w:t>
            </w:r>
            <w:r w:rsidRPr="001316B0">
              <w:rPr>
                <w:rFonts w:ascii="Arial" w:hAnsi="Arial" w:cs="Arial"/>
                <w:lang w:val="en-GB" w:eastAsia="pt-BR"/>
              </w:rPr>
              <w:t xml:space="preserve"> US$)</w:t>
            </w:r>
          </w:p>
        </w:tc>
        <w:tc>
          <w:tcPr>
            <w:tcW w:w="1290" w:type="dxa"/>
            <w:tcBorders>
              <w:top w:val="single" w:sz="4" w:space="0" w:color="auto"/>
              <w:left w:val="single" w:sz="4" w:space="0" w:color="auto"/>
              <w:bottom w:val="single" w:sz="4" w:space="0" w:color="auto"/>
              <w:right w:val="single" w:sz="4" w:space="0" w:color="auto"/>
            </w:tcBorders>
          </w:tcPr>
          <w:p w14:paraId="02694542"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0</w:t>
            </w:r>
            <w:r w:rsidR="003B27CF" w:rsidRPr="001316B0">
              <w:rPr>
                <w:rFonts w:ascii="Arial" w:hAnsi="Arial" w:cs="Arial"/>
                <w:lang w:val="en-GB" w:eastAsia="pt-BR"/>
              </w:rPr>
              <w:t>.</w:t>
            </w:r>
            <w:r w:rsidR="001920D5" w:rsidRPr="001316B0">
              <w:rPr>
                <w:rFonts w:ascii="Arial" w:hAnsi="Arial" w:cs="Arial"/>
                <w:lang w:val="en-GB" w:eastAsia="pt-BR"/>
              </w:rPr>
              <w:t>151</w:t>
            </w:r>
          </w:p>
        </w:tc>
        <w:tc>
          <w:tcPr>
            <w:tcW w:w="1417" w:type="dxa"/>
            <w:tcBorders>
              <w:top w:val="single" w:sz="4" w:space="0" w:color="auto"/>
              <w:left w:val="single" w:sz="4" w:space="0" w:color="auto"/>
              <w:bottom w:val="single" w:sz="4" w:space="0" w:color="auto"/>
              <w:right w:val="single" w:sz="4" w:space="0" w:color="auto"/>
            </w:tcBorders>
          </w:tcPr>
          <w:p w14:paraId="1B92AD66"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0</w:t>
            </w:r>
            <w:r w:rsidR="003B27CF" w:rsidRPr="001316B0">
              <w:rPr>
                <w:rFonts w:ascii="Arial" w:hAnsi="Arial" w:cs="Arial"/>
                <w:lang w:val="en-GB" w:eastAsia="pt-BR"/>
              </w:rPr>
              <w:t>.</w:t>
            </w:r>
            <w:r w:rsidR="001920D5" w:rsidRPr="001316B0">
              <w:rPr>
                <w:rFonts w:ascii="Arial" w:hAnsi="Arial" w:cs="Arial"/>
                <w:lang w:val="en-GB" w:eastAsia="pt-BR"/>
              </w:rPr>
              <w:t>161</w:t>
            </w:r>
          </w:p>
        </w:tc>
        <w:tc>
          <w:tcPr>
            <w:tcW w:w="1276" w:type="dxa"/>
            <w:tcBorders>
              <w:top w:val="single" w:sz="4" w:space="0" w:color="auto"/>
              <w:left w:val="single" w:sz="4" w:space="0" w:color="auto"/>
              <w:bottom w:val="single" w:sz="4" w:space="0" w:color="auto"/>
              <w:right w:val="single" w:sz="4" w:space="0" w:color="auto"/>
            </w:tcBorders>
          </w:tcPr>
          <w:p w14:paraId="6512F347" w14:textId="77777777" w:rsidR="008D5D0F" w:rsidRPr="001316B0" w:rsidRDefault="0064571F" w:rsidP="002904EE">
            <w:pPr>
              <w:spacing w:line="360" w:lineRule="auto"/>
              <w:jc w:val="center"/>
              <w:rPr>
                <w:rFonts w:ascii="Arial" w:hAnsi="Arial" w:cs="Arial"/>
                <w:lang w:val="en-GB" w:eastAsia="pt-BR"/>
              </w:rPr>
            </w:pPr>
            <w:r w:rsidRPr="001316B0">
              <w:rPr>
                <w:rFonts w:ascii="Arial" w:hAnsi="Arial" w:cs="Arial"/>
                <w:lang w:val="en-GB" w:eastAsia="pt-BR"/>
              </w:rPr>
              <w:t>0</w:t>
            </w:r>
            <w:r w:rsidR="003B27CF" w:rsidRPr="001316B0">
              <w:rPr>
                <w:rFonts w:ascii="Arial" w:hAnsi="Arial" w:cs="Arial"/>
                <w:lang w:val="en-GB" w:eastAsia="pt-BR"/>
              </w:rPr>
              <w:t>.</w:t>
            </w:r>
            <w:r w:rsidR="001920D5" w:rsidRPr="001316B0">
              <w:rPr>
                <w:rFonts w:ascii="Arial" w:hAnsi="Arial" w:cs="Arial"/>
                <w:lang w:val="en-GB" w:eastAsia="pt-BR"/>
              </w:rPr>
              <w:t>161</w:t>
            </w:r>
          </w:p>
        </w:tc>
        <w:tc>
          <w:tcPr>
            <w:tcW w:w="1276" w:type="dxa"/>
            <w:tcBorders>
              <w:top w:val="single" w:sz="4" w:space="0" w:color="auto"/>
              <w:left w:val="single" w:sz="4" w:space="0" w:color="auto"/>
              <w:bottom w:val="single" w:sz="4" w:space="0" w:color="auto"/>
              <w:right w:val="single" w:sz="4" w:space="0" w:color="auto"/>
            </w:tcBorders>
          </w:tcPr>
          <w:p w14:paraId="230BD7BE" w14:textId="77777777" w:rsidR="008D5D0F" w:rsidRPr="001316B0" w:rsidRDefault="008D5D0F" w:rsidP="002904EE">
            <w:pPr>
              <w:spacing w:line="360" w:lineRule="auto"/>
              <w:jc w:val="center"/>
              <w:rPr>
                <w:rFonts w:ascii="Arial" w:hAnsi="Arial" w:cs="Arial"/>
                <w:lang w:val="en-GB" w:eastAsia="pt-BR"/>
              </w:rPr>
            </w:pPr>
            <w:r w:rsidRPr="001316B0">
              <w:rPr>
                <w:rFonts w:ascii="Arial" w:hAnsi="Arial" w:cs="Arial"/>
                <w:lang w:val="en-GB" w:eastAsia="pt-BR"/>
              </w:rPr>
              <w:t>0</w:t>
            </w:r>
            <w:r w:rsidR="003B27CF" w:rsidRPr="001316B0">
              <w:rPr>
                <w:rFonts w:ascii="Arial" w:hAnsi="Arial" w:cs="Arial"/>
                <w:lang w:val="en-GB" w:eastAsia="pt-BR"/>
              </w:rPr>
              <w:t>.</w:t>
            </w:r>
            <w:r w:rsidR="001920D5" w:rsidRPr="001316B0">
              <w:rPr>
                <w:rFonts w:ascii="Arial" w:hAnsi="Arial" w:cs="Arial"/>
                <w:lang w:val="en-GB" w:eastAsia="pt-BR"/>
              </w:rPr>
              <w:t>155</w:t>
            </w:r>
          </w:p>
        </w:tc>
      </w:tr>
    </w:tbl>
    <w:p w14:paraId="413F0430" w14:textId="77777777" w:rsidR="007D0780" w:rsidRPr="001316B0" w:rsidRDefault="007D0780" w:rsidP="002904EE">
      <w:pPr>
        <w:spacing w:line="360" w:lineRule="auto"/>
        <w:jc w:val="both"/>
        <w:rPr>
          <w:rFonts w:ascii="Arial" w:hAnsi="Arial" w:cs="Arial"/>
          <w:lang w:val="en-GB" w:eastAsia="pt-BR"/>
        </w:rPr>
      </w:pPr>
    </w:p>
    <w:p w14:paraId="29908679" w14:textId="77777777" w:rsidR="008D5D0F" w:rsidRPr="001316B0" w:rsidRDefault="007D0780" w:rsidP="002904EE">
      <w:pPr>
        <w:spacing w:line="360" w:lineRule="auto"/>
        <w:jc w:val="both"/>
        <w:rPr>
          <w:rFonts w:ascii="Arial" w:hAnsi="Arial" w:cs="Arial"/>
          <w:lang w:val="en-GB" w:eastAsia="pt-BR"/>
        </w:rPr>
      </w:pPr>
      <w:r w:rsidRPr="001316B0">
        <w:rPr>
          <w:rFonts w:ascii="Arial" w:hAnsi="Arial" w:cs="Arial"/>
          <w:lang w:val="en-GB" w:eastAsia="pt-BR"/>
        </w:rPr>
        <w:t>Key</w:t>
      </w:r>
      <w:r w:rsidR="008D5D0F" w:rsidRPr="001316B0">
        <w:rPr>
          <w:rFonts w:ascii="Arial" w:hAnsi="Arial" w:cs="Arial"/>
          <w:lang w:val="en-GB" w:eastAsia="pt-BR"/>
        </w:rPr>
        <w:t xml:space="preserve">: </w:t>
      </w:r>
    </w:p>
    <w:p w14:paraId="28838C0D" w14:textId="77777777" w:rsidR="00BB1D34" w:rsidRPr="001316B0" w:rsidRDefault="00362D0A" w:rsidP="002904EE">
      <w:pPr>
        <w:spacing w:line="360" w:lineRule="auto"/>
        <w:jc w:val="both"/>
        <w:rPr>
          <w:rFonts w:ascii="Arial" w:hAnsi="Arial" w:cs="Arial"/>
          <w:lang w:val="en-GB" w:eastAsia="pt-BR"/>
        </w:rPr>
      </w:pPr>
      <w:proofErr w:type="gramStart"/>
      <w:r w:rsidRPr="001316B0">
        <w:rPr>
          <w:rFonts w:ascii="Arial" w:hAnsi="Arial" w:cs="Arial"/>
          <w:lang w:val="en-GB" w:eastAsia="pt-BR"/>
        </w:rPr>
        <w:t>toe</w:t>
      </w:r>
      <w:proofErr w:type="gramEnd"/>
      <w:r w:rsidR="008D5D0F" w:rsidRPr="001316B0">
        <w:rPr>
          <w:rFonts w:ascii="Arial" w:hAnsi="Arial" w:cs="Arial"/>
          <w:lang w:val="en-GB" w:eastAsia="pt-BR"/>
        </w:rPr>
        <w:t xml:space="preserve"> = </w:t>
      </w:r>
      <w:r w:rsidRPr="001316B0">
        <w:rPr>
          <w:rFonts w:ascii="Arial" w:hAnsi="Arial" w:cs="Arial"/>
          <w:lang w:val="en-GB" w:eastAsia="pt-BR"/>
        </w:rPr>
        <w:t xml:space="preserve">tonne of </w:t>
      </w:r>
      <w:r w:rsidR="00A14E35" w:rsidRPr="001316B0">
        <w:rPr>
          <w:rFonts w:ascii="Arial" w:hAnsi="Arial" w:cs="Arial"/>
          <w:lang w:val="en-GB" w:eastAsia="pt-BR"/>
        </w:rPr>
        <w:t>petroleum</w:t>
      </w:r>
      <w:r w:rsidRPr="001316B0">
        <w:rPr>
          <w:rFonts w:ascii="Arial" w:hAnsi="Arial" w:cs="Arial"/>
          <w:lang w:val="en-GB" w:eastAsia="pt-BR"/>
        </w:rPr>
        <w:t xml:space="preserve"> equivalent</w:t>
      </w:r>
    </w:p>
    <w:p w14:paraId="59A09C1F" w14:textId="77777777" w:rsidR="008D5D0F" w:rsidRDefault="00BB1D34" w:rsidP="002904EE">
      <w:pPr>
        <w:spacing w:line="360" w:lineRule="auto"/>
        <w:jc w:val="both"/>
        <w:rPr>
          <w:rFonts w:ascii="Arial" w:hAnsi="Arial" w:cs="Arial"/>
          <w:lang w:val="en-GB" w:eastAsia="pt-BR"/>
        </w:rPr>
      </w:pPr>
      <w:proofErr w:type="spellStart"/>
      <w:r w:rsidRPr="001316B0">
        <w:rPr>
          <w:rFonts w:ascii="Arial" w:hAnsi="Arial" w:cs="Arial"/>
          <w:lang w:val="en-GB" w:eastAsia="pt-BR"/>
        </w:rPr>
        <w:t>M</w:t>
      </w:r>
      <w:r w:rsidR="00362D0A" w:rsidRPr="001316B0">
        <w:rPr>
          <w:rFonts w:ascii="Arial" w:hAnsi="Arial" w:cs="Arial"/>
          <w:lang w:val="en-GB" w:eastAsia="pt-BR"/>
        </w:rPr>
        <w:t>toe</w:t>
      </w:r>
      <w:proofErr w:type="spellEnd"/>
      <w:r w:rsidRPr="001316B0">
        <w:rPr>
          <w:rFonts w:ascii="Arial" w:hAnsi="Arial" w:cs="Arial"/>
          <w:lang w:val="en-GB" w:eastAsia="pt-BR"/>
        </w:rPr>
        <w:t xml:space="preserve"> = </w:t>
      </w:r>
      <w:r w:rsidR="00D71BE8" w:rsidRPr="001316B0">
        <w:rPr>
          <w:rFonts w:ascii="Arial" w:hAnsi="Arial" w:cs="Arial"/>
          <w:lang w:val="en-GB" w:eastAsia="pt-BR"/>
        </w:rPr>
        <w:t>million toe/tonnes of petroleum equivalent</w:t>
      </w:r>
      <w:r w:rsidR="008D5D0F" w:rsidRPr="001316B0">
        <w:rPr>
          <w:rFonts w:ascii="Arial" w:hAnsi="Arial" w:cs="Arial"/>
          <w:lang w:val="en-GB" w:eastAsia="pt-BR"/>
        </w:rPr>
        <w:t xml:space="preserve"> </w:t>
      </w:r>
    </w:p>
    <w:p w14:paraId="01924375" w14:textId="77777777" w:rsidR="008D5D0F" w:rsidRPr="001316B0" w:rsidRDefault="00362D0A" w:rsidP="002904EE">
      <w:pPr>
        <w:spacing w:line="360" w:lineRule="auto"/>
        <w:jc w:val="both"/>
        <w:rPr>
          <w:rFonts w:ascii="Arial" w:hAnsi="Arial" w:cs="Arial"/>
          <w:lang w:val="en-GB" w:eastAsia="pt-BR"/>
        </w:rPr>
      </w:pPr>
      <w:r w:rsidRPr="001316B0">
        <w:rPr>
          <w:rFonts w:ascii="Arial" w:hAnsi="Arial" w:cs="Arial"/>
          <w:lang w:val="en-GB" w:eastAsia="pt-BR"/>
        </w:rPr>
        <w:t>Source</w:t>
      </w:r>
      <w:r w:rsidR="008D5D0F" w:rsidRPr="001316B0">
        <w:rPr>
          <w:rFonts w:ascii="Arial" w:hAnsi="Arial" w:cs="Arial"/>
          <w:lang w:val="en-GB" w:eastAsia="pt-BR"/>
        </w:rPr>
        <w:t xml:space="preserve">: </w:t>
      </w:r>
      <w:r w:rsidR="003C5B4B" w:rsidRPr="001316B0">
        <w:rPr>
          <w:rFonts w:ascii="Arial" w:hAnsi="Arial" w:cs="Arial"/>
          <w:lang w:val="en-GB" w:eastAsia="pt-BR"/>
        </w:rPr>
        <w:t>MME/</w:t>
      </w:r>
      <w:r w:rsidRPr="001316B0">
        <w:rPr>
          <w:rFonts w:ascii="Arial" w:hAnsi="Arial" w:cs="Arial"/>
          <w:lang w:val="en-GB" w:eastAsia="pt-BR"/>
        </w:rPr>
        <w:t>EPE, “National Energy Balance ", 2006 and</w:t>
      </w:r>
      <w:r w:rsidR="001920D5" w:rsidRPr="001316B0">
        <w:rPr>
          <w:rFonts w:ascii="Arial" w:hAnsi="Arial" w:cs="Arial"/>
          <w:lang w:val="en-GB" w:eastAsia="pt-BR"/>
        </w:rPr>
        <w:t xml:space="preserve"> 2010</w:t>
      </w:r>
      <w:r w:rsidR="008D5D0F" w:rsidRPr="001316B0">
        <w:rPr>
          <w:rFonts w:ascii="Arial" w:hAnsi="Arial" w:cs="Arial"/>
          <w:lang w:val="en-GB" w:eastAsia="pt-BR"/>
        </w:rPr>
        <w:t xml:space="preserve">. </w:t>
      </w:r>
    </w:p>
    <w:p w14:paraId="63328C16" w14:textId="77777777" w:rsidR="008D5D0F" w:rsidRPr="001316B0" w:rsidRDefault="008D5D0F" w:rsidP="002904EE">
      <w:pPr>
        <w:spacing w:line="360" w:lineRule="auto"/>
        <w:jc w:val="both"/>
        <w:rPr>
          <w:rFonts w:ascii="Arial" w:hAnsi="Arial" w:cs="Arial"/>
          <w:lang w:val="en-GB" w:eastAsia="pt-BR"/>
        </w:rPr>
      </w:pPr>
    </w:p>
    <w:p w14:paraId="253504C2" w14:textId="77777777" w:rsidR="008D5D0F" w:rsidRPr="001316B0" w:rsidRDefault="00713553" w:rsidP="002904EE">
      <w:pPr>
        <w:tabs>
          <w:tab w:val="decimal" w:pos="2880"/>
          <w:tab w:val="center" w:pos="2988"/>
          <w:tab w:val="decimal" w:pos="3744"/>
          <w:tab w:val="decimal" w:pos="4896"/>
          <w:tab w:val="decimal" w:pos="5760"/>
          <w:tab w:val="decimal" w:pos="6912"/>
          <w:tab w:val="decimal" w:pos="7776"/>
        </w:tabs>
        <w:spacing w:line="360" w:lineRule="auto"/>
        <w:jc w:val="both"/>
        <w:rPr>
          <w:rFonts w:ascii="Arial" w:hAnsi="Arial" w:cs="Arial"/>
          <w:lang w:val="en-GB" w:eastAsia="pt-BR"/>
        </w:rPr>
      </w:pPr>
      <w:r w:rsidRPr="001316B0">
        <w:rPr>
          <w:rFonts w:ascii="Arial" w:hAnsi="Arial" w:cs="Arial"/>
          <w:lang w:val="en-GB" w:eastAsia="pt-BR"/>
        </w:rPr>
        <w:t>The energy supply structure was also radically altered during this period, accompanying the transformation of demand</w:t>
      </w:r>
      <w:r w:rsidR="008D5D0F" w:rsidRPr="001316B0">
        <w:rPr>
          <w:rFonts w:ascii="Arial" w:hAnsi="Arial" w:cs="Arial"/>
          <w:lang w:val="en-GB" w:eastAsia="pt-BR"/>
        </w:rPr>
        <w:t xml:space="preserve">. </w:t>
      </w:r>
      <w:r w:rsidRPr="001316B0">
        <w:rPr>
          <w:rFonts w:ascii="Arial" w:hAnsi="Arial" w:cs="Arial"/>
          <w:lang w:val="en-GB" w:eastAsia="pt-BR"/>
        </w:rPr>
        <w:t xml:space="preserve">In </w:t>
      </w:r>
      <w:r w:rsidR="008D5D0F" w:rsidRPr="001316B0">
        <w:rPr>
          <w:rFonts w:ascii="Arial" w:hAnsi="Arial" w:cs="Arial"/>
          <w:lang w:val="en-GB" w:eastAsia="pt-BR"/>
        </w:rPr>
        <w:t>1940,</w:t>
      </w:r>
      <w:r w:rsidRPr="001316B0">
        <w:rPr>
          <w:rFonts w:ascii="Arial" w:hAnsi="Arial" w:cs="Arial"/>
          <w:lang w:val="en-GB" w:eastAsia="pt-BR"/>
        </w:rPr>
        <w:t xml:space="preserve"> in an eminently rural society, firewood provided more that 80% of the primary energy consumed in the country, against a mere 6% of </w:t>
      </w:r>
      <w:r w:rsidR="00A14E35" w:rsidRPr="001316B0">
        <w:rPr>
          <w:rFonts w:ascii="Arial" w:hAnsi="Arial" w:cs="Arial"/>
          <w:lang w:val="en-GB" w:eastAsia="pt-BR"/>
        </w:rPr>
        <w:t>petroleum</w:t>
      </w:r>
      <w:r w:rsidRPr="001316B0">
        <w:rPr>
          <w:rFonts w:ascii="Arial" w:hAnsi="Arial" w:cs="Arial"/>
          <w:lang w:val="en-GB" w:eastAsia="pt-BR"/>
        </w:rPr>
        <w:t xml:space="preserve"> and mineral coal and 1.3% of hydroelectricity</w:t>
      </w:r>
      <w:r w:rsidR="008D5D0F" w:rsidRPr="001316B0">
        <w:rPr>
          <w:rFonts w:ascii="Arial" w:hAnsi="Arial" w:cs="Arial"/>
          <w:lang w:val="en-GB" w:eastAsia="pt-BR"/>
        </w:rPr>
        <w:t xml:space="preserve">. </w:t>
      </w:r>
      <w:r w:rsidRPr="001316B0">
        <w:rPr>
          <w:rFonts w:ascii="Arial" w:hAnsi="Arial" w:cs="Arial"/>
          <w:lang w:val="en-GB" w:eastAsia="pt-BR"/>
        </w:rPr>
        <w:t xml:space="preserve">Today, there is a predominance of two large national centralized systems that are initially constituted by </w:t>
      </w:r>
      <w:r w:rsidR="001B45A9" w:rsidRPr="001316B0">
        <w:rPr>
          <w:rFonts w:ascii="Arial" w:hAnsi="Arial" w:cs="Arial"/>
          <w:lang w:val="en-GB" w:eastAsia="pt-BR"/>
        </w:rPr>
        <w:t>s</w:t>
      </w:r>
      <w:r w:rsidRPr="001316B0">
        <w:rPr>
          <w:rFonts w:ascii="Arial" w:hAnsi="Arial" w:cs="Arial"/>
          <w:lang w:val="en-GB" w:eastAsia="pt-BR"/>
        </w:rPr>
        <w:t>tate action</w:t>
      </w:r>
      <w:r w:rsidR="008D5D0F" w:rsidRPr="001316B0">
        <w:rPr>
          <w:rFonts w:ascii="Arial" w:hAnsi="Arial" w:cs="Arial"/>
          <w:lang w:val="en-GB" w:eastAsia="pt-BR"/>
        </w:rPr>
        <w:t xml:space="preserve">: </w:t>
      </w:r>
      <w:r w:rsidRPr="001316B0">
        <w:rPr>
          <w:rFonts w:ascii="Arial" w:hAnsi="Arial" w:cs="Arial"/>
          <w:lang w:val="en-GB" w:eastAsia="pt-BR"/>
        </w:rPr>
        <w:t xml:space="preserve">the </w:t>
      </w:r>
      <w:r w:rsidR="0062322E" w:rsidRPr="001316B0">
        <w:rPr>
          <w:rFonts w:ascii="Arial" w:hAnsi="Arial" w:cs="Arial"/>
          <w:lang w:val="en-GB" w:eastAsia="pt-BR"/>
        </w:rPr>
        <w:t>hydroelectric</w:t>
      </w:r>
      <w:r w:rsidRPr="001316B0">
        <w:rPr>
          <w:rFonts w:ascii="Arial" w:hAnsi="Arial" w:cs="Arial"/>
          <w:lang w:val="en-GB" w:eastAsia="pt-BR"/>
        </w:rPr>
        <w:t xml:space="preserve"> and the </w:t>
      </w:r>
      <w:r w:rsidR="00A14E35" w:rsidRPr="001316B0">
        <w:rPr>
          <w:rFonts w:ascii="Arial" w:hAnsi="Arial" w:cs="Arial"/>
          <w:lang w:val="en-GB" w:eastAsia="pt-BR"/>
        </w:rPr>
        <w:t>petroleum</w:t>
      </w:r>
      <w:r w:rsidRPr="001316B0">
        <w:rPr>
          <w:rFonts w:ascii="Arial" w:hAnsi="Arial" w:cs="Arial"/>
          <w:lang w:val="en-GB" w:eastAsia="pt-BR"/>
        </w:rPr>
        <w:t xml:space="preserve"> systems</w:t>
      </w:r>
      <w:r w:rsidR="008D5D0F" w:rsidRPr="001316B0">
        <w:rPr>
          <w:rFonts w:ascii="Arial" w:hAnsi="Arial" w:cs="Arial"/>
          <w:lang w:val="en-GB" w:eastAsia="pt-BR"/>
        </w:rPr>
        <w:t xml:space="preserve">. </w:t>
      </w:r>
      <w:r w:rsidR="0062322E" w:rsidRPr="001316B0">
        <w:rPr>
          <w:rFonts w:ascii="Arial" w:hAnsi="Arial" w:cs="Arial"/>
          <w:lang w:val="en-GB" w:eastAsia="pt-BR"/>
        </w:rPr>
        <w:t>These systems provide essentially differ</w:t>
      </w:r>
      <w:r w:rsidR="00164342" w:rsidRPr="001316B0">
        <w:rPr>
          <w:rFonts w:ascii="Arial" w:hAnsi="Arial" w:cs="Arial"/>
          <w:lang w:val="en-GB" w:eastAsia="pt-BR"/>
        </w:rPr>
        <w:t xml:space="preserve">ent energy forms required by an urban, </w:t>
      </w:r>
      <w:r w:rsidR="0062322E" w:rsidRPr="001316B0">
        <w:rPr>
          <w:rFonts w:ascii="Arial" w:hAnsi="Arial" w:cs="Arial"/>
          <w:lang w:val="en-GB" w:eastAsia="pt-BR"/>
        </w:rPr>
        <w:t>industrial</w:t>
      </w:r>
      <w:r w:rsidR="00164342" w:rsidRPr="001316B0">
        <w:rPr>
          <w:rFonts w:ascii="Arial" w:hAnsi="Arial" w:cs="Arial"/>
          <w:lang w:val="en-GB" w:eastAsia="pt-BR"/>
        </w:rPr>
        <w:t xml:space="preserve">ized </w:t>
      </w:r>
      <w:r w:rsidR="00873993" w:rsidRPr="001316B0">
        <w:rPr>
          <w:rFonts w:ascii="Arial" w:hAnsi="Arial" w:cs="Arial"/>
          <w:lang w:val="en-GB" w:eastAsia="pt-BR"/>
        </w:rPr>
        <w:t xml:space="preserve">country </w:t>
      </w:r>
      <w:r w:rsidR="00164342" w:rsidRPr="001316B0">
        <w:rPr>
          <w:rFonts w:ascii="Arial" w:hAnsi="Arial" w:cs="Arial"/>
          <w:lang w:val="en-GB" w:eastAsia="pt-BR"/>
        </w:rPr>
        <w:t>with a roadway infrastructure</w:t>
      </w:r>
      <w:r w:rsidR="008D5D0F" w:rsidRPr="001316B0">
        <w:rPr>
          <w:rFonts w:ascii="Arial" w:hAnsi="Arial" w:cs="Arial"/>
          <w:lang w:val="en-GB" w:eastAsia="pt-BR"/>
        </w:rPr>
        <w:t xml:space="preserve">: </w:t>
      </w:r>
      <w:r w:rsidR="00164342" w:rsidRPr="001316B0">
        <w:rPr>
          <w:rFonts w:ascii="Arial" w:hAnsi="Arial" w:cs="Arial"/>
          <w:lang w:val="en-GB" w:eastAsia="pt-BR"/>
        </w:rPr>
        <w:t>electricity for urban industry, homes, commerce and services</w:t>
      </w:r>
      <w:r w:rsidR="008D5D0F" w:rsidRPr="001316B0">
        <w:rPr>
          <w:rFonts w:ascii="Arial" w:hAnsi="Arial" w:cs="Arial"/>
          <w:lang w:val="en-GB" w:eastAsia="pt-BR"/>
        </w:rPr>
        <w:t xml:space="preserve">; </w:t>
      </w:r>
      <w:r w:rsidR="00F41790" w:rsidRPr="001316B0">
        <w:rPr>
          <w:rFonts w:ascii="Arial" w:hAnsi="Arial" w:cs="Arial"/>
          <w:lang w:val="en-GB" w:eastAsia="pt-BR"/>
        </w:rPr>
        <w:t>diesel fuel for trucks and buses</w:t>
      </w:r>
      <w:r w:rsidR="008D5D0F" w:rsidRPr="001316B0">
        <w:rPr>
          <w:rFonts w:ascii="Arial" w:hAnsi="Arial" w:cs="Arial"/>
          <w:lang w:val="en-GB" w:eastAsia="pt-BR"/>
        </w:rPr>
        <w:t xml:space="preserve">; </w:t>
      </w:r>
      <w:r w:rsidR="003023CC" w:rsidRPr="001316B0">
        <w:rPr>
          <w:rFonts w:ascii="Arial" w:hAnsi="Arial" w:cs="Arial"/>
          <w:lang w:val="en-GB" w:eastAsia="pt-BR"/>
        </w:rPr>
        <w:t>fuel oil for industry</w:t>
      </w:r>
      <w:r w:rsidR="008D5D0F" w:rsidRPr="001316B0">
        <w:rPr>
          <w:rFonts w:ascii="Arial" w:hAnsi="Arial" w:cs="Arial"/>
          <w:lang w:val="en-GB" w:eastAsia="pt-BR"/>
        </w:rPr>
        <w:t xml:space="preserve">; </w:t>
      </w:r>
      <w:r w:rsidR="003023CC" w:rsidRPr="001316B0">
        <w:rPr>
          <w:rFonts w:ascii="Arial" w:hAnsi="Arial" w:cs="Arial"/>
          <w:lang w:val="en-GB" w:eastAsia="pt-BR"/>
        </w:rPr>
        <w:t>gasoline and ethanol for private vehicles</w:t>
      </w:r>
      <w:r w:rsidR="008D5D0F" w:rsidRPr="001316B0">
        <w:rPr>
          <w:rFonts w:ascii="Arial" w:hAnsi="Arial" w:cs="Arial"/>
          <w:lang w:val="en-GB" w:eastAsia="pt-BR"/>
        </w:rPr>
        <w:t>; na</w:t>
      </w:r>
      <w:r w:rsidR="00106AC9" w:rsidRPr="001316B0">
        <w:rPr>
          <w:rFonts w:ascii="Arial" w:hAnsi="Arial" w:cs="Arial"/>
          <w:lang w:val="en-GB" w:eastAsia="pt-BR"/>
        </w:rPr>
        <w:t>phtha for the petrochemical industry</w:t>
      </w:r>
      <w:r w:rsidR="008D5D0F" w:rsidRPr="001316B0">
        <w:rPr>
          <w:rFonts w:ascii="Arial" w:hAnsi="Arial" w:cs="Arial"/>
          <w:lang w:val="en-GB" w:eastAsia="pt-BR"/>
        </w:rPr>
        <w:t xml:space="preserve">; </w:t>
      </w:r>
      <w:r w:rsidR="00106AC9" w:rsidRPr="001316B0">
        <w:rPr>
          <w:rFonts w:ascii="Arial" w:hAnsi="Arial" w:cs="Arial"/>
          <w:lang w:val="en-GB" w:eastAsia="pt-BR"/>
        </w:rPr>
        <w:t>liquefied petroleum gas for cooking</w:t>
      </w:r>
      <w:r w:rsidR="008D5D0F" w:rsidRPr="001316B0">
        <w:rPr>
          <w:rFonts w:ascii="Arial" w:hAnsi="Arial" w:cs="Arial"/>
          <w:lang w:val="en-GB" w:eastAsia="pt-BR"/>
        </w:rPr>
        <w:t xml:space="preserve">; </w:t>
      </w:r>
      <w:r w:rsidR="00270C57" w:rsidRPr="001316B0">
        <w:rPr>
          <w:rFonts w:ascii="Arial" w:hAnsi="Arial" w:cs="Arial"/>
          <w:lang w:val="en-GB" w:eastAsia="pt-BR"/>
        </w:rPr>
        <w:t>mineral and vegetable coal coke mainly for the steel industry.</w:t>
      </w:r>
      <w:r w:rsidR="008D5D0F" w:rsidRPr="001316B0">
        <w:rPr>
          <w:rFonts w:ascii="Arial" w:hAnsi="Arial" w:cs="Arial"/>
          <w:lang w:val="en-GB" w:eastAsia="pt-BR"/>
        </w:rPr>
        <w:t xml:space="preserve"> </w:t>
      </w:r>
    </w:p>
    <w:p w14:paraId="7E044078" w14:textId="77777777" w:rsidR="00221F36" w:rsidRPr="001316B0" w:rsidRDefault="00221F36"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p>
    <w:p w14:paraId="042A2C11" w14:textId="77777777" w:rsidR="00886B81" w:rsidRPr="001316B0" w:rsidRDefault="00210427"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 xml:space="preserve">The participation of renewable sources in domestic Brazilian energy supply </w:t>
      </w:r>
      <w:r w:rsidR="0064571F" w:rsidRPr="001316B0">
        <w:rPr>
          <w:rFonts w:ascii="Arial" w:hAnsi="Arial" w:cs="Arial"/>
          <w:lang w:val="en-GB" w:eastAsia="pt-BR"/>
        </w:rPr>
        <w:t>(47</w:t>
      </w:r>
      <w:r w:rsidR="00405BE9" w:rsidRPr="001316B0">
        <w:rPr>
          <w:rFonts w:ascii="Arial" w:hAnsi="Arial" w:cs="Arial"/>
          <w:lang w:val="en-GB" w:eastAsia="pt-BR"/>
        </w:rPr>
        <w:t xml:space="preserve">%) </w:t>
      </w:r>
      <w:r w:rsidRPr="001316B0">
        <w:rPr>
          <w:rFonts w:ascii="Arial" w:hAnsi="Arial" w:cs="Arial"/>
          <w:lang w:val="en-GB" w:eastAsia="pt-BR"/>
        </w:rPr>
        <w:t>is well above the world average</w:t>
      </w:r>
      <w:r w:rsidR="00886B81" w:rsidRPr="001316B0">
        <w:rPr>
          <w:rFonts w:ascii="Arial" w:hAnsi="Arial" w:cs="Arial"/>
          <w:lang w:val="en-GB" w:eastAsia="pt-BR"/>
        </w:rPr>
        <w:t xml:space="preserve">, </w:t>
      </w:r>
      <w:r w:rsidRPr="001316B0">
        <w:rPr>
          <w:rFonts w:ascii="Arial" w:hAnsi="Arial" w:cs="Arial"/>
          <w:lang w:val="en-GB" w:eastAsia="pt-BR"/>
        </w:rPr>
        <w:t>of 12.</w:t>
      </w:r>
      <w:r w:rsidR="00886B81" w:rsidRPr="001316B0">
        <w:rPr>
          <w:rFonts w:ascii="Arial" w:hAnsi="Arial" w:cs="Arial"/>
          <w:lang w:val="en-GB" w:eastAsia="pt-BR"/>
        </w:rPr>
        <w:t xml:space="preserve">9% </w:t>
      </w:r>
      <w:r w:rsidRPr="001316B0">
        <w:rPr>
          <w:rFonts w:ascii="Arial" w:hAnsi="Arial" w:cs="Arial"/>
          <w:lang w:val="en-GB" w:eastAsia="pt-BR"/>
        </w:rPr>
        <w:t>in</w:t>
      </w:r>
      <w:r w:rsidR="00886B81" w:rsidRPr="001316B0">
        <w:rPr>
          <w:rFonts w:ascii="Arial" w:hAnsi="Arial" w:cs="Arial"/>
          <w:lang w:val="en-GB" w:eastAsia="pt-BR"/>
        </w:rPr>
        <w:t xml:space="preserve"> 2006, </w:t>
      </w:r>
      <w:r w:rsidRPr="001316B0">
        <w:rPr>
          <w:rFonts w:ascii="Arial" w:hAnsi="Arial" w:cs="Arial"/>
          <w:lang w:val="en-GB" w:eastAsia="pt-BR"/>
        </w:rPr>
        <w:t xml:space="preserve">and higher than the average of </w:t>
      </w:r>
      <w:r w:rsidR="008B3454" w:rsidRPr="001316B0">
        <w:rPr>
          <w:rFonts w:ascii="Arial" w:hAnsi="Arial" w:cs="Arial"/>
          <w:lang w:val="en-GB" w:eastAsia="pt-BR"/>
        </w:rPr>
        <w:t>OECD (</w:t>
      </w:r>
      <w:r w:rsidR="0047697B" w:rsidRPr="001316B0">
        <w:rPr>
          <w:rFonts w:ascii="Arial" w:hAnsi="Arial" w:cs="Arial"/>
          <w:lang w:val="en-GB" w:eastAsia="pt-BR"/>
        </w:rPr>
        <w:t>Organization for Economic Co-operation and Development</w:t>
      </w:r>
      <w:r w:rsidR="00C34E10" w:rsidRPr="001316B0">
        <w:rPr>
          <w:rFonts w:ascii="Arial" w:hAnsi="Arial" w:cs="Arial"/>
          <w:lang w:val="en-GB" w:eastAsia="pt-BR"/>
        </w:rPr>
        <w:t>)</w:t>
      </w:r>
      <w:r w:rsidRPr="001316B0">
        <w:rPr>
          <w:rFonts w:ascii="Arial" w:hAnsi="Arial" w:cs="Arial"/>
          <w:lang w:val="en-GB" w:eastAsia="pt-BR"/>
        </w:rPr>
        <w:t xml:space="preserve"> countries</w:t>
      </w:r>
      <w:r w:rsidR="00886B81" w:rsidRPr="001316B0">
        <w:rPr>
          <w:rFonts w:ascii="Arial" w:hAnsi="Arial" w:cs="Arial"/>
          <w:lang w:val="en-GB" w:eastAsia="pt-BR"/>
        </w:rPr>
        <w:t xml:space="preserve">, </w:t>
      </w:r>
      <w:r w:rsidRPr="001316B0">
        <w:rPr>
          <w:rFonts w:ascii="Arial" w:hAnsi="Arial" w:cs="Arial"/>
          <w:lang w:val="en-GB" w:eastAsia="pt-BR"/>
        </w:rPr>
        <w:t>of 6.</w:t>
      </w:r>
      <w:r w:rsidR="00886B81" w:rsidRPr="001316B0">
        <w:rPr>
          <w:rFonts w:ascii="Arial" w:hAnsi="Arial" w:cs="Arial"/>
          <w:lang w:val="en-GB" w:eastAsia="pt-BR"/>
        </w:rPr>
        <w:t>7%</w:t>
      </w:r>
      <w:r w:rsidR="000F6AD8" w:rsidRPr="001316B0">
        <w:rPr>
          <w:rFonts w:ascii="Arial" w:hAnsi="Arial" w:cs="Arial"/>
          <w:lang w:val="en-GB" w:eastAsia="pt-BR"/>
        </w:rPr>
        <w:t xml:space="preserve">, </w:t>
      </w:r>
      <w:r w:rsidR="00C4227B" w:rsidRPr="001316B0">
        <w:rPr>
          <w:rFonts w:ascii="Arial" w:hAnsi="Arial" w:cs="Arial"/>
          <w:lang w:val="en-GB" w:eastAsia="pt-BR"/>
        </w:rPr>
        <w:t xml:space="preserve">due to </w:t>
      </w:r>
      <w:r w:rsidRPr="001316B0">
        <w:rPr>
          <w:rFonts w:ascii="Arial" w:hAnsi="Arial" w:cs="Arial"/>
          <w:lang w:val="en-GB" w:eastAsia="pt-BR"/>
        </w:rPr>
        <w:t>renewable biomass and hydroelectricity</w:t>
      </w:r>
      <w:r w:rsidR="00886B81" w:rsidRPr="001316B0">
        <w:rPr>
          <w:rFonts w:ascii="Arial" w:hAnsi="Arial" w:cs="Arial"/>
          <w:lang w:val="en-GB" w:eastAsia="pt-BR"/>
        </w:rPr>
        <w:t xml:space="preserve">. </w:t>
      </w:r>
    </w:p>
    <w:p w14:paraId="60E92E03" w14:textId="77777777" w:rsidR="003254BC" w:rsidRPr="001316B0" w:rsidRDefault="00DA4774"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 xml:space="preserve">Expansion of the use of electricity in the country was supported by the huge national hydroelectric potential, estimated at </w:t>
      </w:r>
      <w:r w:rsidR="000135C3" w:rsidRPr="001316B0">
        <w:rPr>
          <w:rFonts w:ascii="Arial" w:hAnsi="Arial" w:cs="Arial"/>
          <w:lang w:val="en-GB" w:eastAsia="pt-BR"/>
        </w:rPr>
        <w:t xml:space="preserve">261 </w:t>
      </w:r>
      <w:r w:rsidRPr="001316B0">
        <w:rPr>
          <w:rFonts w:ascii="Arial" w:hAnsi="Arial" w:cs="Arial"/>
          <w:lang w:val="en-GB" w:eastAsia="pt-BR"/>
        </w:rPr>
        <w:t>thousand</w:t>
      </w:r>
      <w:r w:rsidR="000135C3" w:rsidRPr="001316B0">
        <w:rPr>
          <w:rFonts w:ascii="Arial" w:hAnsi="Arial" w:cs="Arial"/>
          <w:lang w:val="en-GB" w:eastAsia="pt-BR"/>
        </w:rPr>
        <w:t xml:space="preserve"> MW</w:t>
      </w:r>
      <w:r w:rsidR="008D5D0F" w:rsidRPr="001316B0">
        <w:rPr>
          <w:rFonts w:ascii="Arial" w:hAnsi="Arial" w:cs="Arial"/>
          <w:lang w:val="en-GB" w:eastAsia="pt-BR"/>
        </w:rPr>
        <w:t xml:space="preserve">. </w:t>
      </w:r>
      <w:r w:rsidRPr="001316B0">
        <w:rPr>
          <w:rFonts w:ascii="Arial" w:hAnsi="Arial" w:cs="Arial"/>
          <w:lang w:val="en-GB" w:eastAsia="pt-BR"/>
        </w:rPr>
        <w:t xml:space="preserve">Since the start of the 70s, hydroelectric generation represents more than </w:t>
      </w:r>
      <w:r w:rsidR="003254BC" w:rsidRPr="001316B0">
        <w:rPr>
          <w:rFonts w:ascii="Arial" w:hAnsi="Arial" w:cs="Arial"/>
          <w:lang w:val="en-GB" w:eastAsia="pt-BR"/>
        </w:rPr>
        <w:t>85</w:t>
      </w:r>
      <w:r w:rsidR="008D5D0F" w:rsidRPr="001316B0">
        <w:rPr>
          <w:rFonts w:ascii="Arial" w:hAnsi="Arial" w:cs="Arial"/>
          <w:lang w:val="en-GB" w:eastAsia="pt-BR"/>
        </w:rPr>
        <w:t xml:space="preserve"> % </w:t>
      </w:r>
      <w:r w:rsidRPr="001316B0">
        <w:rPr>
          <w:rFonts w:ascii="Arial" w:hAnsi="Arial" w:cs="Arial"/>
          <w:lang w:val="en-GB" w:eastAsia="pt-BR"/>
        </w:rPr>
        <w:t>of national electricity consumption</w:t>
      </w:r>
      <w:r w:rsidR="008D5D0F" w:rsidRPr="001316B0">
        <w:rPr>
          <w:rFonts w:ascii="Arial" w:hAnsi="Arial" w:cs="Arial"/>
          <w:lang w:val="en-GB" w:eastAsia="pt-BR"/>
        </w:rPr>
        <w:t xml:space="preserve">. </w:t>
      </w:r>
      <w:r w:rsidR="004F2B85" w:rsidRPr="001316B0">
        <w:rPr>
          <w:rFonts w:ascii="Arial" w:hAnsi="Arial" w:cs="Arial"/>
          <w:lang w:val="en-GB" w:eastAsia="pt-BR"/>
        </w:rPr>
        <w:t xml:space="preserve">The level of </w:t>
      </w:r>
      <w:r w:rsidR="00EF7A5A" w:rsidRPr="001316B0">
        <w:rPr>
          <w:rFonts w:ascii="Arial" w:hAnsi="Arial" w:cs="Arial"/>
          <w:color w:val="000000" w:themeColor="text1"/>
          <w:lang w:val="en-GB" w:eastAsia="pt-BR"/>
        </w:rPr>
        <w:t xml:space="preserve">inventoried </w:t>
      </w:r>
      <w:r w:rsidR="004F2B85" w:rsidRPr="001316B0">
        <w:rPr>
          <w:rFonts w:ascii="Arial" w:hAnsi="Arial" w:cs="Arial"/>
          <w:color w:val="000000" w:themeColor="text1"/>
          <w:lang w:val="en-GB" w:eastAsia="pt-BR"/>
        </w:rPr>
        <w:t>potential</w:t>
      </w:r>
      <w:r w:rsidR="004F2B85" w:rsidRPr="001316B0">
        <w:rPr>
          <w:rFonts w:ascii="Arial" w:hAnsi="Arial" w:cs="Arial"/>
          <w:lang w:val="en-GB" w:eastAsia="pt-BR"/>
        </w:rPr>
        <w:t xml:space="preserve"> hydroelectric use is still lower than </w:t>
      </w:r>
      <w:r w:rsidR="008D5D0F" w:rsidRPr="001316B0">
        <w:rPr>
          <w:rFonts w:ascii="Arial" w:hAnsi="Arial" w:cs="Arial"/>
          <w:lang w:val="en-GB" w:eastAsia="pt-BR"/>
        </w:rPr>
        <w:t>40 %</w:t>
      </w:r>
      <w:r w:rsidR="000135C3" w:rsidRPr="001316B0">
        <w:rPr>
          <w:rFonts w:ascii="Arial" w:hAnsi="Arial" w:cs="Arial"/>
          <w:lang w:val="en-GB" w:eastAsia="pt-BR"/>
        </w:rPr>
        <w:t xml:space="preserve">, </w:t>
      </w:r>
      <w:r w:rsidR="004F2B85" w:rsidRPr="001316B0">
        <w:rPr>
          <w:rFonts w:ascii="Arial" w:hAnsi="Arial" w:cs="Arial"/>
          <w:lang w:val="en-GB" w:eastAsia="pt-BR"/>
        </w:rPr>
        <w:t xml:space="preserve">although </w:t>
      </w:r>
      <w:r w:rsidR="000135C3" w:rsidRPr="001316B0">
        <w:rPr>
          <w:rFonts w:ascii="Arial" w:hAnsi="Arial" w:cs="Arial"/>
          <w:lang w:val="en-GB" w:eastAsia="pt-BR"/>
        </w:rPr>
        <w:t xml:space="preserve">2/3 </w:t>
      </w:r>
      <w:r w:rsidR="004F2B85" w:rsidRPr="001316B0">
        <w:rPr>
          <w:rFonts w:ascii="Arial" w:hAnsi="Arial" w:cs="Arial"/>
          <w:lang w:val="en-GB" w:eastAsia="pt-BR"/>
        </w:rPr>
        <w:t xml:space="preserve">of </w:t>
      </w:r>
      <w:r w:rsidR="00EF7A5A" w:rsidRPr="001316B0">
        <w:rPr>
          <w:rFonts w:ascii="Arial" w:hAnsi="Arial" w:cs="Arial"/>
          <w:lang w:val="en-GB" w:eastAsia="pt-BR"/>
        </w:rPr>
        <w:t>reminiscent</w:t>
      </w:r>
      <w:r w:rsidR="004F2B85" w:rsidRPr="001316B0">
        <w:rPr>
          <w:rFonts w:ascii="Arial" w:hAnsi="Arial" w:cs="Arial"/>
          <w:lang w:val="en-GB" w:eastAsia="pt-BR"/>
        </w:rPr>
        <w:t xml:space="preserve"> potential is in the Amazon</w:t>
      </w:r>
      <w:r w:rsidR="000135C3" w:rsidRPr="001316B0">
        <w:rPr>
          <w:rFonts w:ascii="Arial" w:hAnsi="Arial" w:cs="Arial"/>
          <w:lang w:val="en-GB" w:eastAsia="pt-BR"/>
        </w:rPr>
        <w:t xml:space="preserve">, </w:t>
      </w:r>
      <w:r w:rsidR="004F2B85" w:rsidRPr="001316B0">
        <w:rPr>
          <w:rFonts w:ascii="Arial" w:hAnsi="Arial" w:cs="Arial"/>
          <w:lang w:val="en-GB" w:eastAsia="pt-BR"/>
        </w:rPr>
        <w:t xml:space="preserve">which is a challenge for sustainable use </w:t>
      </w:r>
      <w:r w:rsidR="004F2B85" w:rsidRPr="001316B0">
        <w:rPr>
          <w:rFonts w:ascii="Arial" w:hAnsi="Arial" w:cs="Arial"/>
          <w:lang w:val="en-GB" w:eastAsia="pt-BR"/>
        </w:rPr>
        <w:lastRenderedPageBreak/>
        <w:t>contrary to the examples of plants constructed in the region during the 80s (</w:t>
      </w:r>
      <w:proofErr w:type="spellStart"/>
      <w:r w:rsidR="004F2B85" w:rsidRPr="001316B0">
        <w:rPr>
          <w:rFonts w:ascii="Arial" w:hAnsi="Arial" w:cs="Arial"/>
          <w:lang w:val="en-GB" w:eastAsia="pt-BR"/>
        </w:rPr>
        <w:t>Tucurui</w:t>
      </w:r>
      <w:proofErr w:type="spellEnd"/>
      <w:r w:rsidR="000135C3" w:rsidRPr="001316B0">
        <w:rPr>
          <w:rFonts w:ascii="Arial" w:hAnsi="Arial" w:cs="Arial"/>
          <w:lang w:val="en-GB" w:eastAsia="pt-BR"/>
        </w:rPr>
        <w:t xml:space="preserve">, </w:t>
      </w:r>
      <w:proofErr w:type="spellStart"/>
      <w:r w:rsidR="000135C3" w:rsidRPr="001316B0">
        <w:rPr>
          <w:rFonts w:ascii="Arial" w:hAnsi="Arial" w:cs="Arial"/>
          <w:lang w:val="en-GB" w:eastAsia="pt-BR"/>
        </w:rPr>
        <w:t>Balbina</w:t>
      </w:r>
      <w:proofErr w:type="spellEnd"/>
      <w:r w:rsidR="000135C3" w:rsidRPr="001316B0">
        <w:rPr>
          <w:rFonts w:ascii="Arial" w:hAnsi="Arial" w:cs="Arial"/>
          <w:lang w:val="en-GB" w:eastAsia="pt-BR"/>
        </w:rPr>
        <w:t>, Samuel).</w:t>
      </w:r>
      <w:r w:rsidR="008D5D0F" w:rsidRPr="001316B0">
        <w:rPr>
          <w:rFonts w:ascii="Arial" w:hAnsi="Arial" w:cs="Arial"/>
          <w:lang w:val="en-GB" w:eastAsia="pt-BR"/>
        </w:rPr>
        <w:t xml:space="preserve"> </w:t>
      </w:r>
    </w:p>
    <w:p w14:paraId="6C971EE0" w14:textId="77777777" w:rsidR="00635C84" w:rsidRPr="001316B0" w:rsidRDefault="002C5FE0"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color w:val="000000"/>
          <w:lang w:val="en-GB"/>
        </w:rPr>
      </w:pPr>
      <w:r w:rsidRPr="001316B0">
        <w:rPr>
          <w:rFonts w:ascii="Arial" w:hAnsi="Arial" w:cs="Arial"/>
          <w:lang w:val="en-GB" w:eastAsia="pt-BR"/>
        </w:rPr>
        <w:t>A new institutional rationalization model for the electrical power sector was implemented to enable private funding for investments in the expansion of installed capacity</w:t>
      </w:r>
      <w:r w:rsidR="00635C84" w:rsidRPr="001316B0">
        <w:rPr>
          <w:rFonts w:ascii="Arial" w:hAnsi="Arial" w:cs="Arial"/>
          <w:lang w:val="en-GB" w:eastAsia="pt-BR"/>
        </w:rPr>
        <w:t xml:space="preserve">. </w:t>
      </w:r>
      <w:r w:rsidRPr="001316B0">
        <w:rPr>
          <w:rFonts w:ascii="Arial" w:hAnsi="Arial" w:cs="Arial"/>
          <w:lang w:val="en-GB" w:eastAsia="pt-BR"/>
        </w:rPr>
        <w:t>The newly adopted guidelines stimulate participation of private initiative in the electricity sector</w:t>
      </w:r>
      <w:r w:rsidR="00635C84" w:rsidRPr="001316B0">
        <w:rPr>
          <w:rFonts w:ascii="Arial" w:hAnsi="Arial" w:cs="Arial"/>
          <w:lang w:val="en-GB" w:eastAsia="pt-BR"/>
        </w:rPr>
        <w:t xml:space="preserve">. </w:t>
      </w:r>
      <w:r w:rsidRPr="001316B0">
        <w:rPr>
          <w:rFonts w:ascii="Arial" w:hAnsi="Arial" w:cs="Arial"/>
          <w:lang w:val="en-GB" w:eastAsia="pt-BR"/>
        </w:rPr>
        <w:t xml:space="preserve">The </w:t>
      </w:r>
      <w:r w:rsidRPr="001316B0">
        <w:rPr>
          <w:rFonts w:ascii="Arial" w:hAnsi="Arial" w:cs="Arial"/>
          <w:color w:val="000000" w:themeColor="text1"/>
          <w:lang w:val="en-GB" w:eastAsia="pt-BR"/>
        </w:rPr>
        <w:t>figure</w:t>
      </w:r>
      <w:r w:rsidRPr="001316B0">
        <w:rPr>
          <w:rFonts w:ascii="Arial" w:hAnsi="Arial" w:cs="Arial"/>
          <w:lang w:val="en-GB" w:eastAsia="pt-BR"/>
        </w:rPr>
        <w:t xml:space="preserve"> of</w:t>
      </w:r>
      <w:r w:rsidR="00A20C17" w:rsidRPr="001316B0">
        <w:rPr>
          <w:rFonts w:ascii="Arial" w:hAnsi="Arial" w:cs="Arial"/>
          <w:lang w:val="en-GB" w:eastAsia="pt-BR"/>
        </w:rPr>
        <w:t xml:space="preserve"> the</w:t>
      </w:r>
      <w:r w:rsidRPr="001316B0">
        <w:rPr>
          <w:rFonts w:ascii="Arial" w:hAnsi="Arial" w:cs="Arial"/>
          <w:lang w:val="en-GB" w:eastAsia="pt-BR"/>
        </w:rPr>
        <w:t xml:space="preserve"> independent energy producer was regulated and the distribution segment has already been transferred to private initiative</w:t>
      </w:r>
      <w:r w:rsidR="00635C84" w:rsidRPr="001316B0">
        <w:rPr>
          <w:rFonts w:ascii="Arial" w:hAnsi="Arial" w:cs="Arial"/>
          <w:lang w:val="en-GB" w:eastAsia="pt-BR"/>
        </w:rPr>
        <w:t xml:space="preserve">. </w:t>
      </w:r>
      <w:r w:rsidRPr="001316B0">
        <w:rPr>
          <w:rFonts w:ascii="Arial" w:hAnsi="Arial" w:cs="Arial"/>
          <w:lang w:val="en-GB" w:eastAsia="pt-BR"/>
        </w:rPr>
        <w:t xml:space="preserve">The transmission network with guaranteed access to all agents is operated by an independent private institution, the </w:t>
      </w:r>
      <w:r w:rsidR="00635C84" w:rsidRPr="001316B0">
        <w:rPr>
          <w:rFonts w:ascii="Arial" w:hAnsi="Arial" w:cs="Arial"/>
          <w:lang w:val="en-GB" w:eastAsia="pt-BR"/>
        </w:rPr>
        <w:t>ONS</w:t>
      </w:r>
      <w:r w:rsidR="00C34E10" w:rsidRPr="001316B0">
        <w:rPr>
          <w:rFonts w:ascii="Arial" w:hAnsi="Arial" w:cs="Arial"/>
          <w:lang w:val="en-GB" w:eastAsia="pt-BR"/>
        </w:rPr>
        <w:t xml:space="preserve"> (</w:t>
      </w:r>
      <w:r w:rsidR="00180B96" w:rsidRPr="001316B0">
        <w:rPr>
          <w:rFonts w:ascii="Arial" w:hAnsi="Arial" w:cs="Arial"/>
          <w:lang w:val="en-GB" w:eastAsia="pt-BR"/>
        </w:rPr>
        <w:t>National System Operator</w:t>
      </w:r>
      <w:r w:rsidR="00C34E10" w:rsidRPr="001316B0">
        <w:rPr>
          <w:rFonts w:ascii="Arial" w:hAnsi="Arial" w:cs="Arial"/>
          <w:lang w:val="en-GB" w:eastAsia="pt-BR"/>
        </w:rPr>
        <w:t>)</w:t>
      </w:r>
      <w:r w:rsidR="00635C84" w:rsidRPr="001316B0">
        <w:rPr>
          <w:rFonts w:ascii="Arial" w:hAnsi="Arial" w:cs="Arial"/>
          <w:lang w:val="en-GB" w:eastAsia="pt-BR"/>
        </w:rPr>
        <w:t xml:space="preserve">. </w:t>
      </w:r>
      <w:r w:rsidR="00180B96" w:rsidRPr="001316B0">
        <w:rPr>
          <w:rFonts w:ascii="Arial" w:hAnsi="Arial" w:cs="Arial"/>
          <w:lang w:val="en-GB" w:eastAsia="pt-BR"/>
        </w:rPr>
        <w:t xml:space="preserve">Sector planning is conducted by the </w:t>
      </w:r>
      <w:r w:rsidR="004570B3" w:rsidRPr="001316B0">
        <w:rPr>
          <w:rFonts w:ascii="Arial" w:hAnsi="Arial" w:cs="Arial"/>
          <w:lang w:val="en-GB" w:eastAsia="pt-BR"/>
        </w:rPr>
        <w:t>MME</w:t>
      </w:r>
      <w:r w:rsidR="00180B96" w:rsidRPr="001316B0">
        <w:rPr>
          <w:rFonts w:ascii="Arial" w:hAnsi="Arial" w:cs="Arial"/>
          <w:lang w:val="en-GB" w:eastAsia="pt-BR"/>
        </w:rPr>
        <w:t xml:space="preserve"> (Ministry of Mines and Energy)</w:t>
      </w:r>
      <w:r w:rsidR="004570B3" w:rsidRPr="001316B0">
        <w:rPr>
          <w:rFonts w:ascii="Arial" w:hAnsi="Arial" w:cs="Arial"/>
          <w:lang w:val="en-GB" w:eastAsia="pt-BR"/>
        </w:rPr>
        <w:t xml:space="preserve"> </w:t>
      </w:r>
      <w:r w:rsidR="00180B96" w:rsidRPr="001316B0">
        <w:rPr>
          <w:rFonts w:ascii="Arial" w:hAnsi="Arial" w:cs="Arial"/>
          <w:lang w:val="en-GB" w:eastAsia="pt-BR"/>
        </w:rPr>
        <w:t xml:space="preserve">through the </w:t>
      </w:r>
      <w:r w:rsidR="00635C84" w:rsidRPr="001316B0">
        <w:rPr>
          <w:rFonts w:ascii="Arial" w:hAnsi="Arial" w:cs="Arial"/>
          <w:color w:val="000000" w:themeColor="text1"/>
          <w:lang w:val="en-GB" w:eastAsia="pt-BR"/>
        </w:rPr>
        <w:t>EPE</w:t>
      </w:r>
      <w:r w:rsidR="000C6953" w:rsidRPr="001316B0">
        <w:rPr>
          <w:rFonts w:ascii="Arial" w:hAnsi="Arial" w:cs="Arial"/>
          <w:color w:val="000000" w:themeColor="text1"/>
          <w:lang w:val="en-GB" w:eastAsia="pt-BR"/>
        </w:rPr>
        <w:t xml:space="preserve"> (Energy Research Company)</w:t>
      </w:r>
      <w:r w:rsidR="00635C84" w:rsidRPr="001316B0">
        <w:rPr>
          <w:rFonts w:ascii="Arial" w:hAnsi="Arial" w:cs="Arial"/>
          <w:color w:val="000000" w:themeColor="text1"/>
          <w:lang w:val="en-GB" w:eastAsia="pt-BR"/>
        </w:rPr>
        <w:t>.</w:t>
      </w:r>
      <w:r w:rsidR="000F6AD8" w:rsidRPr="001316B0">
        <w:rPr>
          <w:rFonts w:ascii="Arial" w:hAnsi="Arial" w:cs="Arial"/>
          <w:lang w:val="en-GB" w:eastAsia="pt-BR"/>
        </w:rPr>
        <w:t xml:space="preserve"> </w:t>
      </w:r>
      <w:r w:rsidR="00180B96" w:rsidRPr="001316B0">
        <w:rPr>
          <w:rFonts w:ascii="Arial" w:hAnsi="Arial" w:cs="Arial"/>
          <w:lang w:val="en-GB" w:eastAsia="pt-BR"/>
        </w:rPr>
        <w:t>This model allowed the continuance of large hydroelectric project bidding processes</w:t>
      </w:r>
      <w:r w:rsidR="000F6AD8" w:rsidRPr="001316B0">
        <w:rPr>
          <w:rFonts w:ascii="Arial" w:hAnsi="Arial" w:cs="Arial"/>
          <w:color w:val="000000"/>
          <w:lang w:val="en-GB"/>
        </w:rPr>
        <w:t xml:space="preserve">, </w:t>
      </w:r>
      <w:r w:rsidR="00180B96" w:rsidRPr="001316B0">
        <w:rPr>
          <w:rFonts w:ascii="Arial" w:hAnsi="Arial" w:cs="Arial"/>
          <w:color w:val="000000"/>
          <w:lang w:val="en-GB"/>
        </w:rPr>
        <w:t xml:space="preserve">especially the plants under construction in the </w:t>
      </w:r>
      <w:r w:rsidR="008F76E5" w:rsidRPr="001316B0">
        <w:rPr>
          <w:rFonts w:ascii="Arial" w:hAnsi="Arial" w:cs="Arial"/>
          <w:color w:val="000000"/>
          <w:lang w:val="en-GB"/>
        </w:rPr>
        <w:t xml:space="preserve">Madeira – </w:t>
      </w:r>
      <w:proofErr w:type="spellStart"/>
      <w:r w:rsidR="000F6AD8" w:rsidRPr="001316B0">
        <w:rPr>
          <w:rFonts w:ascii="Arial" w:hAnsi="Arial" w:cs="Arial"/>
          <w:color w:val="000000"/>
          <w:lang w:val="en-GB"/>
        </w:rPr>
        <w:t>Jirau</w:t>
      </w:r>
      <w:proofErr w:type="spellEnd"/>
      <w:r w:rsidR="00180B96" w:rsidRPr="001316B0">
        <w:rPr>
          <w:rFonts w:ascii="Arial" w:hAnsi="Arial" w:cs="Arial"/>
          <w:color w:val="000000"/>
          <w:lang w:val="en-GB"/>
        </w:rPr>
        <w:t xml:space="preserve"> River</w:t>
      </w:r>
      <w:r w:rsidR="000F6AD8" w:rsidRPr="001316B0">
        <w:rPr>
          <w:rFonts w:ascii="Arial" w:hAnsi="Arial" w:cs="Arial"/>
          <w:color w:val="000000"/>
          <w:lang w:val="en-GB"/>
        </w:rPr>
        <w:t xml:space="preserve">, </w:t>
      </w:r>
      <w:r w:rsidR="00180B96" w:rsidRPr="001316B0">
        <w:rPr>
          <w:rFonts w:ascii="Arial" w:hAnsi="Arial" w:cs="Arial"/>
          <w:color w:val="000000"/>
          <w:lang w:val="en-GB"/>
        </w:rPr>
        <w:t xml:space="preserve">with </w:t>
      </w:r>
      <w:r w:rsidR="000F6AD8" w:rsidRPr="001316B0">
        <w:rPr>
          <w:rFonts w:ascii="Arial" w:hAnsi="Arial" w:cs="Arial"/>
          <w:color w:val="000000"/>
          <w:lang w:val="en-GB"/>
        </w:rPr>
        <w:t xml:space="preserve">3750 </w:t>
      </w:r>
      <w:r w:rsidR="00180B96" w:rsidRPr="001316B0">
        <w:rPr>
          <w:rFonts w:ascii="Arial" w:hAnsi="Arial" w:cs="Arial"/>
          <w:color w:val="000000"/>
          <w:lang w:val="en-GB"/>
        </w:rPr>
        <w:t>MW</w:t>
      </w:r>
      <w:r w:rsidR="00FA5BFC" w:rsidRPr="001316B0">
        <w:rPr>
          <w:rFonts w:ascii="Arial" w:hAnsi="Arial" w:cs="Arial"/>
          <w:color w:val="000000"/>
          <w:lang w:val="en-GB"/>
        </w:rPr>
        <w:t>,</w:t>
      </w:r>
      <w:r w:rsidR="00180B96" w:rsidRPr="001316B0">
        <w:rPr>
          <w:rFonts w:ascii="Arial" w:hAnsi="Arial" w:cs="Arial"/>
          <w:color w:val="000000"/>
          <w:lang w:val="en-GB"/>
        </w:rPr>
        <w:t xml:space="preserve"> and</w:t>
      </w:r>
      <w:r w:rsidR="00FA5BFC" w:rsidRPr="001316B0">
        <w:rPr>
          <w:rFonts w:ascii="Arial" w:hAnsi="Arial" w:cs="Arial"/>
          <w:color w:val="000000"/>
          <w:lang w:val="en-GB"/>
        </w:rPr>
        <w:t xml:space="preserve"> Santo Anto</w:t>
      </w:r>
      <w:r w:rsidR="008F76E5" w:rsidRPr="001316B0">
        <w:rPr>
          <w:rFonts w:ascii="Arial" w:hAnsi="Arial" w:cs="Arial"/>
          <w:color w:val="000000"/>
          <w:lang w:val="en-GB"/>
        </w:rPr>
        <w:t xml:space="preserve">nio, </w:t>
      </w:r>
      <w:r w:rsidR="00180B96" w:rsidRPr="001316B0">
        <w:rPr>
          <w:rFonts w:ascii="Arial" w:hAnsi="Arial" w:cs="Arial"/>
          <w:color w:val="000000"/>
          <w:lang w:val="en-GB"/>
        </w:rPr>
        <w:t>with</w:t>
      </w:r>
      <w:r w:rsidR="008F76E5" w:rsidRPr="001316B0">
        <w:rPr>
          <w:rFonts w:ascii="Arial" w:hAnsi="Arial" w:cs="Arial"/>
          <w:color w:val="000000"/>
          <w:lang w:val="en-GB"/>
        </w:rPr>
        <w:t xml:space="preserve"> 3150 MW –</w:t>
      </w:r>
      <w:r w:rsidR="000F6AD8" w:rsidRPr="001316B0">
        <w:rPr>
          <w:rFonts w:ascii="Arial" w:hAnsi="Arial" w:cs="Arial"/>
          <w:color w:val="000000"/>
          <w:lang w:val="en-GB"/>
        </w:rPr>
        <w:t xml:space="preserve">, </w:t>
      </w:r>
      <w:r w:rsidR="00180B96" w:rsidRPr="001316B0">
        <w:rPr>
          <w:rFonts w:ascii="Arial" w:hAnsi="Arial" w:cs="Arial"/>
          <w:color w:val="000000"/>
          <w:lang w:val="en-GB"/>
        </w:rPr>
        <w:t xml:space="preserve">the </w:t>
      </w:r>
      <w:r w:rsidR="000F6AD8" w:rsidRPr="001316B0">
        <w:rPr>
          <w:rFonts w:ascii="Arial" w:hAnsi="Arial" w:cs="Arial"/>
          <w:color w:val="000000"/>
          <w:lang w:val="en-GB"/>
        </w:rPr>
        <w:t>Belo Monte</w:t>
      </w:r>
      <w:r w:rsidR="00180B96" w:rsidRPr="001316B0">
        <w:rPr>
          <w:rFonts w:ascii="Arial" w:hAnsi="Arial" w:cs="Arial"/>
          <w:color w:val="000000"/>
          <w:lang w:val="en-GB"/>
        </w:rPr>
        <w:t xml:space="preserve"> plant</w:t>
      </w:r>
      <w:r w:rsidR="000F6AD8" w:rsidRPr="001316B0">
        <w:rPr>
          <w:rFonts w:ascii="Arial" w:hAnsi="Arial" w:cs="Arial"/>
          <w:color w:val="000000"/>
          <w:lang w:val="en-GB"/>
        </w:rPr>
        <w:t xml:space="preserve">, </w:t>
      </w:r>
      <w:r w:rsidR="00180B96" w:rsidRPr="001316B0">
        <w:rPr>
          <w:rFonts w:ascii="Arial" w:hAnsi="Arial" w:cs="Arial"/>
          <w:color w:val="000000"/>
          <w:lang w:val="en-GB"/>
        </w:rPr>
        <w:t xml:space="preserve">in </w:t>
      </w:r>
      <w:r w:rsidR="000F6AD8" w:rsidRPr="001316B0">
        <w:rPr>
          <w:rFonts w:ascii="Arial" w:hAnsi="Arial" w:cs="Arial"/>
          <w:color w:val="000000"/>
          <w:lang w:val="en-GB"/>
        </w:rPr>
        <w:t>Xingu</w:t>
      </w:r>
      <w:r w:rsidR="00180B96" w:rsidRPr="001316B0">
        <w:rPr>
          <w:rFonts w:ascii="Arial" w:hAnsi="Arial" w:cs="Arial"/>
          <w:color w:val="000000"/>
          <w:lang w:val="en-GB"/>
        </w:rPr>
        <w:t xml:space="preserve"> River</w:t>
      </w:r>
      <w:r w:rsidR="000F6AD8" w:rsidRPr="001316B0">
        <w:rPr>
          <w:rFonts w:ascii="Arial" w:hAnsi="Arial" w:cs="Arial"/>
          <w:color w:val="000000"/>
          <w:lang w:val="en-GB"/>
        </w:rPr>
        <w:t xml:space="preserve">, </w:t>
      </w:r>
      <w:r w:rsidR="00180B96" w:rsidRPr="001316B0">
        <w:rPr>
          <w:rFonts w:ascii="Arial" w:hAnsi="Arial" w:cs="Arial"/>
          <w:color w:val="000000"/>
          <w:lang w:val="en-GB"/>
        </w:rPr>
        <w:t xml:space="preserve">with more than </w:t>
      </w:r>
      <w:r w:rsidR="000F6AD8" w:rsidRPr="001316B0">
        <w:rPr>
          <w:rFonts w:ascii="Arial" w:hAnsi="Arial" w:cs="Arial"/>
          <w:color w:val="000000"/>
          <w:lang w:val="en-GB"/>
        </w:rPr>
        <w:t xml:space="preserve">11 </w:t>
      </w:r>
      <w:r w:rsidR="00180B96" w:rsidRPr="001316B0">
        <w:rPr>
          <w:rFonts w:ascii="Arial" w:hAnsi="Arial" w:cs="Arial"/>
          <w:color w:val="000000"/>
          <w:lang w:val="en-GB"/>
        </w:rPr>
        <w:t xml:space="preserve">thousand </w:t>
      </w:r>
      <w:r w:rsidR="000F6AD8" w:rsidRPr="001316B0">
        <w:rPr>
          <w:rFonts w:ascii="Arial" w:hAnsi="Arial" w:cs="Arial"/>
          <w:color w:val="000000"/>
          <w:lang w:val="en-GB"/>
        </w:rPr>
        <w:t xml:space="preserve">MW </w:t>
      </w:r>
      <w:r w:rsidR="00180B96" w:rsidRPr="001316B0">
        <w:rPr>
          <w:rFonts w:ascii="Arial" w:hAnsi="Arial" w:cs="Arial"/>
          <w:color w:val="000000"/>
          <w:lang w:val="en-GB"/>
        </w:rPr>
        <w:t>of installed capacity, with a recently-approved environmental license</w:t>
      </w:r>
      <w:r w:rsidR="000F6AD8" w:rsidRPr="001316B0">
        <w:rPr>
          <w:rFonts w:ascii="Arial" w:hAnsi="Arial" w:cs="Arial"/>
          <w:color w:val="000000"/>
          <w:lang w:val="en-GB"/>
        </w:rPr>
        <w:t xml:space="preserve">, </w:t>
      </w:r>
      <w:r w:rsidR="00180B96" w:rsidRPr="001316B0">
        <w:rPr>
          <w:rFonts w:ascii="Arial" w:hAnsi="Arial" w:cs="Arial"/>
          <w:color w:val="000000"/>
          <w:lang w:val="en-GB"/>
        </w:rPr>
        <w:t xml:space="preserve">and 4 new plants in the basin of the </w:t>
      </w:r>
      <w:proofErr w:type="spellStart"/>
      <w:r w:rsidR="000F6AD8" w:rsidRPr="001316B0">
        <w:rPr>
          <w:rFonts w:ascii="Arial" w:hAnsi="Arial" w:cs="Arial"/>
          <w:color w:val="000000"/>
          <w:lang w:val="en-GB"/>
        </w:rPr>
        <w:t>Teles</w:t>
      </w:r>
      <w:proofErr w:type="spellEnd"/>
      <w:r w:rsidR="000F6AD8" w:rsidRPr="001316B0">
        <w:rPr>
          <w:rFonts w:ascii="Arial" w:hAnsi="Arial" w:cs="Arial"/>
          <w:color w:val="000000"/>
          <w:lang w:val="en-GB"/>
        </w:rPr>
        <w:t xml:space="preserve"> Pires</w:t>
      </w:r>
      <w:r w:rsidR="00180B96" w:rsidRPr="001316B0">
        <w:rPr>
          <w:rFonts w:ascii="Arial" w:hAnsi="Arial" w:cs="Arial"/>
          <w:color w:val="000000"/>
          <w:lang w:val="en-GB"/>
        </w:rPr>
        <w:t xml:space="preserve"> River, also in the Amazon, with total capacity of around </w:t>
      </w:r>
      <w:r w:rsidR="000F6AD8" w:rsidRPr="001316B0">
        <w:rPr>
          <w:rFonts w:ascii="Arial" w:hAnsi="Arial" w:cs="Arial"/>
          <w:color w:val="000000"/>
          <w:lang w:val="en-GB"/>
        </w:rPr>
        <w:t xml:space="preserve">3 </w:t>
      </w:r>
      <w:r w:rsidR="00180B96" w:rsidRPr="001316B0">
        <w:rPr>
          <w:rFonts w:ascii="Arial" w:hAnsi="Arial" w:cs="Arial"/>
          <w:color w:val="000000"/>
          <w:lang w:val="en-GB"/>
        </w:rPr>
        <w:t>thousand</w:t>
      </w:r>
      <w:r w:rsidR="000F6AD8" w:rsidRPr="001316B0">
        <w:rPr>
          <w:rFonts w:ascii="Arial" w:hAnsi="Arial" w:cs="Arial"/>
          <w:color w:val="000000"/>
          <w:lang w:val="en-GB"/>
        </w:rPr>
        <w:t xml:space="preserve"> MW.</w:t>
      </w:r>
    </w:p>
    <w:p w14:paraId="7C8865E4" w14:textId="77777777" w:rsidR="00C34E10" w:rsidRPr="001316B0" w:rsidRDefault="00C34E10"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color w:val="000000"/>
          <w:lang w:val="en-GB"/>
        </w:rPr>
      </w:pPr>
    </w:p>
    <w:p w14:paraId="17B9D909" w14:textId="77777777" w:rsidR="001D1D47" w:rsidRPr="001316B0" w:rsidRDefault="001D1D47" w:rsidP="002904EE">
      <w:pPr>
        <w:tabs>
          <w:tab w:val="decimal" w:pos="3024"/>
          <w:tab w:val="decimal" w:pos="4032"/>
          <w:tab w:val="decimal" w:pos="5040"/>
          <w:tab w:val="decimal" w:pos="5904"/>
          <w:tab w:val="decimal" w:pos="7056"/>
          <w:tab w:val="decimal" w:pos="8064"/>
        </w:tabs>
        <w:spacing w:line="360" w:lineRule="auto"/>
        <w:jc w:val="both"/>
        <w:rPr>
          <w:rFonts w:ascii="Calibri" w:hAnsi="Calibri" w:cs="Arial"/>
          <w:b/>
          <w:color w:val="FF0000"/>
          <w:sz w:val="22"/>
          <w:szCs w:val="22"/>
          <w:lang w:val="en-GB" w:eastAsia="pt-BR"/>
        </w:rPr>
      </w:pPr>
    </w:p>
    <w:p w14:paraId="4FC7F5D3" w14:textId="77777777" w:rsidR="006F7806" w:rsidRPr="001316B0" w:rsidRDefault="004E37D1"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 xml:space="preserve">In the case of petroleum by-products, however, the </w:t>
      </w:r>
      <w:r w:rsidR="007F5963" w:rsidRPr="001316B0">
        <w:rPr>
          <w:rFonts w:ascii="Arial" w:hAnsi="Arial" w:cs="Arial"/>
          <w:lang w:val="en-GB" w:eastAsia="pt-BR"/>
        </w:rPr>
        <w:t xml:space="preserve">sharp </w:t>
      </w:r>
      <w:r w:rsidRPr="001316B0">
        <w:rPr>
          <w:rFonts w:ascii="Arial" w:hAnsi="Arial" w:cs="Arial"/>
          <w:lang w:val="en-GB" w:eastAsia="pt-BR"/>
        </w:rPr>
        <w:t xml:space="preserve">rise in consumption led to a high level of dependence on imported </w:t>
      </w:r>
      <w:r w:rsidR="00A14E35" w:rsidRPr="001316B0">
        <w:rPr>
          <w:rFonts w:ascii="Arial" w:hAnsi="Arial" w:cs="Arial"/>
          <w:lang w:val="en-GB" w:eastAsia="pt-BR"/>
        </w:rPr>
        <w:t>petroleum</w:t>
      </w:r>
      <w:r w:rsidRPr="001316B0">
        <w:rPr>
          <w:rFonts w:ascii="Arial" w:hAnsi="Arial" w:cs="Arial"/>
          <w:lang w:val="en-GB" w:eastAsia="pt-BR"/>
        </w:rPr>
        <w:t xml:space="preserve">, which reached </w:t>
      </w:r>
      <w:r w:rsidR="006F7806" w:rsidRPr="001316B0">
        <w:rPr>
          <w:rFonts w:ascii="Arial" w:hAnsi="Arial" w:cs="Arial"/>
          <w:lang w:val="en-GB" w:eastAsia="pt-BR"/>
        </w:rPr>
        <w:t>83%</w:t>
      </w:r>
      <w:r w:rsidR="004570B3" w:rsidRPr="001316B0">
        <w:rPr>
          <w:rFonts w:ascii="Arial" w:hAnsi="Arial" w:cs="Arial"/>
          <w:lang w:val="en-GB" w:eastAsia="pt-BR"/>
        </w:rPr>
        <w:t xml:space="preserve"> </w:t>
      </w:r>
      <w:r w:rsidRPr="001316B0">
        <w:rPr>
          <w:rFonts w:ascii="Arial" w:hAnsi="Arial" w:cs="Arial"/>
          <w:lang w:val="en-GB" w:eastAsia="pt-BR"/>
        </w:rPr>
        <w:t xml:space="preserve">of supply in </w:t>
      </w:r>
      <w:r w:rsidR="006F7806" w:rsidRPr="001316B0">
        <w:rPr>
          <w:rFonts w:ascii="Arial" w:hAnsi="Arial" w:cs="Arial"/>
          <w:lang w:val="en-GB" w:eastAsia="pt-BR"/>
        </w:rPr>
        <w:t xml:space="preserve">1980. </w:t>
      </w:r>
      <w:r w:rsidR="00B20825" w:rsidRPr="001316B0">
        <w:rPr>
          <w:rFonts w:ascii="Arial" w:hAnsi="Arial" w:cs="Arial"/>
          <w:lang w:val="en-GB" w:eastAsia="pt-BR"/>
        </w:rPr>
        <w:t xml:space="preserve">Consequently, the country suffered </w:t>
      </w:r>
      <w:r w:rsidR="004F69C9" w:rsidRPr="001316B0">
        <w:rPr>
          <w:rFonts w:ascii="Arial" w:hAnsi="Arial" w:cs="Arial"/>
          <w:lang w:val="en-GB" w:eastAsia="pt-BR"/>
        </w:rPr>
        <w:t xml:space="preserve">serious financial difficulties when </w:t>
      </w:r>
      <w:r w:rsidR="00A14E35" w:rsidRPr="001316B0">
        <w:rPr>
          <w:rFonts w:ascii="Arial" w:hAnsi="Arial" w:cs="Arial"/>
          <w:lang w:val="en-GB" w:eastAsia="pt-BR"/>
        </w:rPr>
        <w:t>petroleum</w:t>
      </w:r>
      <w:r w:rsidR="004F69C9" w:rsidRPr="001316B0">
        <w:rPr>
          <w:rFonts w:ascii="Arial" w:hAnsi="Arial" w:cs="Arial"/>
          <w:lang w:val="en-GB" w:eastAsia="pt-BR"/>
        </w:rPr>
        <w:t xml:space="preserve"> prices in the international market rose sharply, in </w:t>
      </w:r>
      <w:r w:rsidR="008D5D0F" w:rsidRPr="001316B0">
        <w:rPr>
          <w:rFonts w:ascii="Arial" w:hAnsi="Arial" w:cs="Arial"/>
          <w:lang w:val="en-GB" w:eastAsia="pt-BR"/>
        </w:rPr>
        <w:t xml:space="preserve">1973 </w:t>
      </w:r>
      <w:r w:rsidR="004F69C9" w:rsidRPr="001316B0">
        <w:rPr>
          <w:rFonts w:ascii="Arial" w:hAnsi="Arial" w:cs="Arial"/>
          <w:lang w:val="en-GB" w:eastAsia="pt-BR"/>
        </w:rPr>
        <w:t xml:space="preserve">and </w:t>
      </w:r>
      <w:r w:rsidR="008D5D0F" w:rsidRPr="001316B0">
        <w:rPr>
          <w:rFonts w:ascii="Arial" w:hAnsi="Arial" w:cs="Arial"/>
          <w:lang w:val="en-GB" w:eastAsia="pt-BR"/>
        </w:rPr>
        <w:t xml:space="preserve">1979/80. </w:t>
      </w:r>
      <w:r w:rsidR="00B20825" w:rsidRPr="001316B0">
        <w:rPr>
          <w:rFonts w:ascii="Arial" w:hAnsi="Arial" w:cs="Arial"/>
          <w:lang w:val="en-GB" w:eastAsia="pt-BR"/>
        </w:rPr>
        <w:t xml:space="preserve">Net imports of </w:t>
      </w:r>
      <w:r w:rsidR="00A14E35" w:rsidRPr="001316B0">
        <w:rPr>
          <w:rFonts w:ascii="Arial" w:hAnsi="Arial" w:cs="Arial"/>
          <w:lang w:val="en-GB" w:eastAsia="pt-BR"/>
        </w:rPr>
        <w:t>petroleum</w:t>
      </w:r>
      <w:r w:rsidR="00B20825" w:rsidRPr="001316B0">
        <w:rPr>
          <w:rFonts w:ascii="Arial" w:hAnsi="Arial" w:cs="Arial"/>
          <w:lang w:val="en-GB" w:eastAsia="pt-BR"/>
        </w:rPr>
        <w:t xml:space="preserve"> and by-products (imports minus exports), at the </w:t>
      </w:r>
      <w:r w:rsidR="008D5D0F" w:rsidRPr="001316B0">
        <w:rPr>
          <w:rFonts w:ascii="Arial" w:hAnsi="Arial" w:cs="Arial"/>
          <w:lang w:val="en-GB" w:eastAsia="pt-BR"/>
        </w:rPr>
        <w:t xml:space="preserve">44 </w:t>
      </w:r>
      <w:proofErr w:type="spellStart"/>
      <w:r w:rsidR="0047697B" w:rsidRPr="001316B0">
        <w:rPr>
          <w:rFonts w:ascii="Arial" w:hAnsi="Arial" w:cs="Arial"/>
          <w:lang w:val="en-GB" w:eastAsia="pt-BR"/>
        </w:rPr>
        <w:t>Mtoe</w:t>
      </w:r>
      <w:proofErr w:type="spellEnd"/>
      <w:r w:rsidR="008D5D0F" w:rsidRPr="001316B0">
        <w:rPr>
          <w:rFonts w:ascii="Arial" w:hAnsi="Arial" w:cs="Arial"/>
          <w:lang w:val="en-GB" w:eastAsia="pt-BR"/>
        </w:rPr>
        <w:t xml:space="preserve"> </w:t>
      </w:r>
      <w:r w:rsidR="00B20825" w:rsidRPr="001316B0">
        <w:rPr>
          <w:rFonts w:ascii="Arial" w:hAnsi="Arial" w:cs="Arial"/>
          <w:lang w:val="en-GB" w:eastAsia="pt-BR"/>
        </w:rPr>
        <w:t xml:space="preserve">level in </w:t>
      </w:r>
      <w:r w:rsidR="008D5D0F" w:rsidRPr="001316B0">
        <w:rPr>
          <w:rFonts w:ascii="Arial" w:hAnsi="Arial" w:cs="Arial"/>
          <w:lang w:val="en-GB" w:eastAsia="pt-BR"/>
        </w:rPr>
        <w:t xml:space="preserve">1980, </w:t>
      </w:r>
      <w:r w:rsidR="00B20825" w:rsidRPr="001316B0">
        <w:rPr>
          <w:rFonts w:ascii="Arial" w:hAnsi="Arial" w:cs="Arial"/>
          <w:lang w:val="en-GB" w:eastAsia="pt-BR"/>
        </w:rPr>
        <w:t>reached 9.</w:t>
      </w:r>
      <w:r w:rsidR="008D5D0F" w:rsidRPr="001316B0">
        <w:rPr>
          <w:rFonts w:ascii="Arial" w:hAnsi="Arial" w:cs="Arial"/>
          <w:lang w:val="en-GB" w:eastAsia="pt-BR"/>
        </w:rPr>
        <w:t xml:space="preserve">4 </w:t>
      </w:r>
      <w:r w:rsidR="00B20825" w:rsidRPr="001316B0">
        <w:rPr>
          <w:rFonts w:ascii="Arial" w:hAnsi="Arial" w:cs="Arial"/>
          <w:lang w:val="en-GB" w:eastAsia="pt-BR"/>
        </w:rPr>
        <w:t xml:space="preserve">billion dollars, representing </w:t>
      </w:r>
      <w:r w:rsidR="004570B3" w:rsidRPr="001316B0">
        <w:rPr>
          <w:rFonts w:ascii="Arial" w:hAnsi="Arial" w:cs="Arial"/>
          <w:lang w:val="en-GB" w:eastAsia="pt-BR"/>
        </w:rPr>
        <w:t xml:space="preserve">47 % </w:t>
      </w:r>
      <w:r w:rsidR="00B20825" w:rsidRPr="001316B0">
        <w:rPr>
          <w:rFonts w:ascii="Arial" w:hAnsi="Arial" w:cs="Arial"/>
          <w:lang w:val="en-GB" w:eastAsia="pt-BR"/>
        </w:rPr>
        <w:t>of total exports revenue of the country.</w:t>
      </w:r>
      <w:r w:rsidR="008D5D0F" w:rsidRPr="001316B0">
        <w:rPr>
          <w:rFonts w:ascii="Arial" w:hAnsi="Arial" w:cs="Arial"/>
          <w:lang w:val="en-GB" w:eastAsia="pt-BR"/>
        </w:rPr>
        <w:t xml:space="preserve"> </w:t>
      </w:r>
    </w:p>
    <w:p w14:paraId="452E8B66" w14:textId="77777777" w:rsidR="006F7806" w:rsidRPr="001316B0" w:rsidRDefault="000F6808"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 xml:space="preserve">Responses of the Brazilian energy policy to oil shocks comprised the launching of programmes to replace </w:t>
      </w:r>
      <w:r w:rsidR="00A14E35" w:rsidRPr="001316B0">
        <w:rPr>
          <w:rFonts w:ascii="Arial" w:hAnsi="Arial" w:cs="Arial"/>
          <w:lang w:val="en-GB" w:eastAsia="pt-BR"/>
        </w:rPr>
        <w:t>petroleum</w:t>
      </w:r>
      <w:r w:rsidRPr="001316B0">
        <w:rPr>
          <w:rFonts w:ascii="Arial" w:hAnsi="Arial" w:cs="Arial"/>
          <w:lang w:val="en-GB" w:eastAsia="pt-BR"/>
        </w:rPr>
        <w:t xml:space="preserve"> by-products with national energy sources</w:t>
      </w:r>
      <w:r w:rsidR="008D5D0F" w:rsidRPr="001316B0">
        <w:rPr>
          <w:rFonts w:ascii="Arial" w:hAnsi="Arial" w:cs="Arial"/>
          <w:lang w:val="en-GB" w:eastAsia="pt-BR"/>
        </w:rPr>
        <w:t xml:space="preserve"> (</w:t>
      </w:r>
      <w:r w:rsidRPr="001316B0">
        <w:rPr>
          <w:rFonts w:ascii="Arial" w:hAnsi="Arial" w:cs="Arial"/>
          <w:lang w:val="en-GB" w:eastAsia="pt-BR"/>
        </w:rPr>
        <w:t>ethanol from sugarcane, mineral coal</w:t>
      </w:r>
      <w:r w:rsidR="008D5D0F" w:rsidRPr="001316B0">
        <w:rPr>
          <w:rFonts w:ascii="Arial" w:hAnsi="Arial" w:cs="Arial"/>
          <w:lang w:val="en-GB" w:eastAsia="pt-BR"/>
        </w:rPr>
        <w:t xml:space="preserve">, </w:t>
      </w:r>
      <w:r w:rsidR="003B06CD" w:rsidRPr="001316B0">
        <w:rPr>
          <w:rFonts w:ascii="Arial" w:hAnsi="Arial" w:cs="Arial"/>
          <w:lang w:val="en-GB" w:eastAsia="pt-BR"/>
        </w:rPr>
        <w:t>hydroelectricity, natural gas, firewood and vegetable coal</w:t>
      </w:r>
      <w:r w:rsidR="008D5D0F" w:rsidRPr="001316B0">
        <w:rPr>
          <w:rFonts w:ascii="Arial" w:hAnsi="Arial" w:cs="Arial"/>
          <w:lang w:val="en-GB" w:eastAsia="pt-BR"/>
        </w:rPr>
        <w:t xml:space="preserve">) </w:t>
      </w:r>
      <w:r w:rsidR="003B06CD" w:rsidRPr="001316B0">
        <w:rPr>
          <w:rFonts w:ascii="Arial" w:hAnsi="Arial" w:cs="Arial"/>
          <w:lang w:val="en-GB" w:eastAsia="pt-BR"/>
        </w:rPr>
        <w:t xml:space="preserve">and the growth of internal </w:t>
      </w:r>
      <w:r w:rsidR="00A14E35" w:rsidRPr="001316B0">
        <w:rPr>
          <w:rFonts w:ascii="Arial" w:hAnsi="Arial" w:cs="Arial"/>
          <w:lang w:val="en-GB" w:eastAsia="pt-BR"/>
        </w:rPr>
        <w:t>petroleum</w:t>
      </w:r>
      <w:r w:rsidR="003B06CD" w:rsidRPr="001316B0">
        <w:rPr>
          <w:rFonts w:ascii="Arial" w:hAnsi="Arial" w:cs="Arial"/>
          <w:lang w:val="en-GB" w:eastAsia="pt-BR"/>
        </w:rPr>
        <w:t xml:space="preserve"> prod</w:t>
      </w:r>
      <w:r w:rsidR="00B90672" w:rsidRPr="001316B0">
        <w:rPr>
          <w:rFonts w:ascii="Arial" w:hAnsi="Arial" w:cs="Arial"/>
          <w:lang w:val="en-GB" w:eastAsia="pt-BR"/>
        </w:rPr>
        <w:t xml:space="preserve">uction by means of intensified </w:t>
      </w:r>
      <w:r w:rsidR="003B06CD" w:rsidRPr="001316B0">
        <w:rPr>
          <w:rFonts w:ascii="Arial" w:hAnsi="Arial" w:cs="Arial"/>
          <w:lang w:val="en-GB" w:eastAsia="pt-BR"/>
        </w:rPr>
        <w:t>off-shore prospection efforts</w:t>
      </w:r>
      <w:r w:rsidR="008D5D0F" w:rsidRPr="001316B0">
        <w:rPr>
          <w:rFonts w:ascii="Arial" w:hAnsi="Arial" w:cs="Arial"/>
          <w:lang w:val="en-GB" w:eastAsia="pt-BR"/>
        </w:rPr>
        <w:t>.</w:t>
      </w:r>
      <w:r w:rsidR="006F7806" w:rsidRPr="001316B0">
        <w:rPr>
          <w:rFonts w:ascii="Arial" w:hAnsi="Arial" w:cs="Arial"/>
          <w:lang w:val="en-GB" w:eastAsia="pt-BR"/>
        </w:rPr>
        <w:t xml:space="preserve"> </w:t>
      </w:r>
      <w:r w:rsidR="00B645CC" w:rsidRPr="001316B0">
        <w:rPr>
          <w:rFonts w:ascii="Arial" w:hAnsi="Arial" w:cs="Arial"/>
          <w:lang w:val="en-GB" w:eastAsia="pt-BR"/>
        </w:rPr>
        <w:t xml:space="preserve">The adopted policy sought a drastic reduction of external </w:t>
      </w:r>
      <w:r w:rsidR="00A14E35" w:rsidRPr="001316B0">
        <w:rPr>
          <w:rFonts w:ascii="Arial" w:hAnsi="Arial" w:cs="Arial"/>
          <w:lang w:val="en-GB" w:eastAsia="pt-BR"/>
        </w:rPr>
        <w:t>petroleum</w:t>
      </w:r>
      <w:r w:rsidR="00B645CC" w:rsidRPr="001316B0">
        <w:rPr>
          <w:rFonts w:ascii="Arial" w:hAnsi="Arial" w:cs="Arial"/>
          <w:lang w:val="en-GB" w:eastAsia="pt-BR"/>
        </w:rPr>
        <w:t xml:space="preserve"> dependence in the 80s. It also contributed to a </w:t>
      </w:r>
      <w:r w:rsidR="00014188" w:rsidRPr="001316B0">
        <w:rPr>
          <w:rFonts w:ascii="Arial" w:hAnsi="Arial" w:cs="Arial"/>
          <w:lang w:val="en-GB" w:eastAsia="pt-BR"/>
        </w:rPr>
        <w:t>deceleration</w:t>
      </w:r>
      <w:r w:rsidR="00B645CC" w:rsidRPr="001316B0">
        <w:rPr>
          <w:rFonts w:ascii="Arial" w:hAnsi="Arial" w:cs="Arial"/>
          <w:lang w:val="en-GB" w:eastAsia="pt-BR"/>
        </w:rPr>
        <w:t xml:space="preserve"> of energy consumption due to diminished national financial growth rates in the 80s</w:t>
      </w:r>
      <w:r w:rsidR="006F7806" w:rsidRPr="001316B0">
        <w:rPr>
          <w:rFonts w:ascii="Arial" w:hAnsi="Arial" w:cs="Arial"/>
          <w:lang w:val="en-GB" w:eastAsia="pt-BR"/>
        </w:rPr>
        <w:t xml:space="preserve">. </w:t>
      </w:r>
      <w:r w:rsidR="00B170EA" w:rsidRPr="001316B0">
        <w:rPr>
          <w:rFonts w:ascii="Arial" w:hAnsi="Arial" w:cs="Arial"/>
          <w:lang w:val="en-GB" w:eastAsia="pt-BR"/>
        </w:rPr>
        <w:t xml:space="preserve">There was a reversion in the </w:t>
      </w:r>
      <w:r w:rsidR="00B170EA" w:rsidRPr="001316B0">
        <w:rPr>
          <w:rFonts w:ascii="Arial" w:hAnsi="Arial" w:cs="Arial"/>
          <w:lang w:val="en-GB" w:eastAsia="pt-BR"/>
        </w:rPr>
        <w:lastRenderedPageBreak/>
        <w:t xml:space="preserve">upward tendency of </w:t>
      </w:r>
      <w:r w:rsidR="00A14E35" w:rsidRPr="001316B0">
        <w:rPr>
          <w:rFonts w:ascii="Arial" w:hAnsi="Arial" w:cs="Arial"/>
          <w:lang w:val="en-GB" w:eastAsia="pt-BR"/>
        </w:rPr>
        <w:t>petroleum</w:t>
      </w:r>
      <w:r w:rsidR="00B170EA" w:rsidRPr="001316B0">
        <w:rPr>
          <w:rFonts w:ascii="Arial" w:hAnsi="Arial" w:cs="Arial"/>
          <w:lang w:val="en-GB" w:eastAsia="pt-BR"/>
        </w:rPr>
        <w:t xml:space="preserve"> by-product participation in the national energy balance.</w:t>
      </w:r>
      <w:r w:rsidR="004E354E" w:rsidRPr="001316B0">
        <w:rPr>
          <w:rFonts w:ascii="Arial" w:hAnsi="Arial" w:cs="Arial"/>
          <w:lang w:val="en-GB" w:eastAsia="pt-BR"/>
        </w:rPr>
        <w:t xml:space="preserve"> </w:t>
      </w:r>
      <w:r w:rsidR="00B170EA" w:rsidRPr="001316B0">
        <w:rPr>
          <w:rFonts w:ascii="Arial" w:hAnsi="Arial" w:cs="Arial"/>
          <w:lang w:val="en-GB" w:eastAsia="pt-BR"/>
        </w:rPr>
        <w:t>Important national energy sources were mobilized, as shown in Chart 3</w:t>
      </w:r>
      <w:r w:rsidR="00014188" w:rsidRPr="001316B0">
        <w:rPr>
          <w:rFonts w:ascii="Arial" w:hAnsi="Arial" w:cs="Arial"/>
          <w:lang w:val="en-GB" w:eastAsia="pt-BR"/>
        </w:rPr>
        <w:t xml:space="preserve">, and huge </w:t>
      </w:r>
      <w:r w:rsidR="00B170EA" w:rsidRPr="001316B0">
        <w:rPr>
          <w:rFonts w:ascii="Arial" w:hAnsi="Arial" w:cs="Arial"/>
          <w:lang w:val="en-GB" w:eastAsia="pt-BR"/>
        </w:rPr>
        <w:t>investments assured significant penetration of the use of ethanol in transport</w:t>
      </w:r>
      <w:r w:rsidR="004B3CD3" w:rsidRPr="001316B0">
        <w:rPr>
          <w:rFonts w:ascii="Arial" w:hAnsi="Arial" w:cs="Arial"/>
          <w:lang w:val="en-GB" w:eastAsia="pt-BR"/>
        </w:rPr>
        <w:t>ation</w:t>
      </w:r>
      <w:r w:rsidR="00B170EA" w:rsidRPr="001316B0">
        <w:rPr>
          <w:rFonts w:ascii="Arial" w:hAnsi="Arial" w:cs="Arial"/>
          <w:lang w:val="en-GB" w:eastAsia="pt-BR"/>
        </w:rPr>
        <w:t>, of natural gas and mineral coal in industry and continued expansion of the supply of hydroelectricity at high rates</w:t>
      </w:r>
      <w:r w:rsidR="006F7806" w:rsidRPr="001316B0">
        <w:rPr>
          <w:rFonts w:ascii="Arial" w:hAnsi="Arial" w:cs="Arial"/>
          <w:lang w:val="en-GB" w:eastAsia="pt-BR"/>
        </w:rPr>
        <w:t xml:space="preserve"> (</w:t>
      </w:r>
      <w:r w:rsidR="00B170EA" w:rsidRPr="001316B0">
        <w:rPr>
          <w:rFonts w:ascii="Arial" w:hAnsi="Arial" w:cs="Arial"/>
          <w:lang w:val="en-GB" w:eastAsia="pt-BR"/>
        </w:rPr>
        <w:t>see Charts 1 and 2</w:t>
      </w:r>
      <w:r w:rsidR="006F7806" w:rsidRPr="001316B0">
        <w:rPr>
          <w:rFonts w:ascii="Arial" w:hAnsi="Arial" w:cs="Arial"/>
          <w:lang w:val="en-GB" w:eastAsia="pt-BR"/>
        </w:rPr>
        <w:t>).</w:t>
      </w:r>
      <w:r w:rsidR="00051D4D" w:rsidRPr="001316B0">
        <w:rPr>
          <w:rFonts w:ascii="Arial" w:hAnsi="Arial" w:cs="Arial"/>
          <w:lang w:val="en-GB" w:eastAsia="pt-BR"/>
        </w:rPr>
        <w:t xml:space="preserve"> Even firewood, which was used directly or after its transformation into vegetable coal, advanced considerably in some industrial sectors. In the steel industry, for example, vegetable coal currently absorbs almost half of all energy supplied by firewood</w:t>
      </w:r>
      <w:r w:rsidR="006F7806" w:rsidRPr="001316B0">
        <w:rPr>
          <w:rFonts w:ascii="Arial" w:hAnsi="Arial" w:cs="Arial"/>
          <w:lang w:val="en-GB" w:eastAsia="pt-BR"/>
        </w:rPr>
        <w:t xml:space="preserve">, </w:t>
      </w:r>
      <w:r w:rsidR="00051D4D" w:rsidRPr="001316B0">
        <w:rPr>
          <w:rFonts w:ascii="Arial" w:hAnsi="Arial" w:cs="Arial"/>
          <w:lang w:val="en-GB" w:eastAsia="pt-BR"/>
        </w:rPr>
        <w:t>thus minimizing losses caused by decreased consumption in rural areas.</w:t>
      </w:r>
    </w:p>
    <w:p w14:paraId="25A6A98A" w14:textId="77777777" w:rsidR="006F7806" w:rsidRPr="001316B0" w:rsidRDefault="006F7806"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p>
    <w:p w14:paraId="05C2D2AD" w14:textId="77777777" w:rsidR="00E60A94" w:rsidRPr="001316B0" w:rsidRDefault="00CE23AA"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b/>
          <w:lang w:val="en-GB" w:eastAsia="pt-BR"/>
        </w:rPr>
      </w:pPr>
      <w:r w:rsidRPr="001316B0">
        <w:rPr>
          <w:rFonts w:ascii="Arial" w:hAnsi="Arial" w:cs="Arial"/>
          <w:b/>
          <w:lang w:val="en-GB" w:eastAsia="pt-BR"/>
        </w:rPr>
        <w:t>Chart</w:t>
      </w:r>
      <w:r w:rsidR="006F7806" w:rsidRPr="001316B0">
        <w:rPr>
          <w:rFonts w:ascii="Arial" w:hAnsi="Arial" w:cs="Arial"/>
          <w:b/>
          <w:lang w:val="en-GB" w:eastAsia="pt-BR"/>
        </w:rPr>
        <w:t xml:space="preserve"> 3</w:t>
      </w:r>
    </w:p>
    <w:p w14:paraId="1E18EB86" w14:textId="77777777" w:rsidR="008D5D0F" w:rsidRPr="001316B0" w:rsidRDefault="00CE23AA"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b/>
          <w:lang w:val="en-GB" w:eastAsia="pt-BR"/>
        </w:rPr>
      </w:pPr>
      <w:r w:rsidRPr="001316B0">
        <w:rPr>
          <w:rFonts w:ascii="Arial" w:hAnsi="Arial" w:cs="Arial"/>
          <w:b/>
          <w:lang w:val="en-GB" w:eastAsia="pt-BR"/>
        </w:rPr>
        <w:t>Energy Resources and Reserves</w:t>
      </w:r>
      <w:r w:rsidR="008D5D0F" w:rsidRPr="001316B0">
        <w:rPr>
          <w:rFonts w:ascii="Arial" w:hAnsi="Arial" w:cs="Arial"/>
          <w:b/>
          <w:lang w:val="en-GB" w:eastAsia="pt-BR"/>
        </w:rPr>
        <w:t xml:space="preserve"> (</w:t>
      </w:r>
      <w:r w:rsidRPr="001316B0">
        <w:rPr>
          <w:rFonts w:ascii="Arial" w:hAnsi="Arial" w:cs="Arial"/>
          <w:b/>
          <w:lang w:val="en-GB" w:eastAsia="pt-BR"/>
        </w:rPr>
        <w:t xml:space="preserve">measurements, </w:t>
      </w:r>
      <w:r w:rsidR="007F5963" w:rsidRPr="001316B0">
        <w:rPr>
          <w:rFonts w:ascii="Arial" w:hAnsi="Arial" w:cs="Arial"/>
          <w:b/>
          <w:lang w:val="en-GB" w:eastAsia="pt-BR"/>
        </w:rPr>
        <w:t>indicated and inventoried</w:t>
      </w:r>
      <w:r w:rsidR="008D5D0F" w:rsidRPr="001316B0">
        <w:rPr>
          <w:rFonts w:ascii="Arial" w:hAnsi="Arial" w:cs="Arial"/>
          <w:b/>
          <w:lang w:val="en-GB" w:eastAsia="pt-BR"/>
        </w:rPr>
        <w:t>)</w:t>
      </w:r>
      <w:r w:rsidR="00B833D2" w:rsidRPr="001316B0">
        <w:rPr>
          <w:rFonts w:ascii="Arial" w:hAnsi="Arial" w:cs="Arial"/>
          <w:b/>
          <w:lang w:val="en-GB" w:eastAsia="pt-BR"/>
        </w:rPr>
        <w:t>, Bra</w:t>
      </w:r>
      <w:r w:rsidR="00EF4D06" w:rsidRPr="001316B0">
        <w:rPr>
          <w:rFonts w:ascii="Arial" w:hAnsi="Arial" w:cs="Arial"/>
          <w:b/>
          <w:lang w:val="en-GB" w:eastAsia="pt-BR"/>
        </w:rPr>
        <w:t>z</w:t>
      </w:r>
      <w:r w:rsidR="00B833D2" w:rsidRPr="001316B0">
        <w:rPr>
          <w:rFonts w:ascii="Arial" w:hAnsi="Arial" w:cs="Arial"/>
          <w:b/>
          <w:lang w:val="en-GB" w:eastAsia="pt-BR"/>
        </w:rPr>
        <w:t>il, 31/12/2009</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5"/>
        <w:gridCol w:w="2098"/>
        <w:gridCol w:w="2154"/>
        <w:gridCol w:w="2268"/>
      </w:tblGrid>
      <w:tr w:rsidR="008D5D0F" w:rsidRPr="001316B0" w14:paraId="64500658" w14:textId="77777777" w:rsidTr="00E10D16">
        <w:trPr>
          <w:jc w:val="center"/>
        </w:trPr>
        <w:tc>
          <w:tcPr>
            <w:tcW w:w="2235" w:type="dxa"/>
            <w:tcBorders>
              <w:top w:val="single" w:sz="12" w:space="0" w:color="auto"/>
              <w:left w:val="single" w:sz="12" w:space="0" w:color="auto"/>
              <w:bottom w:val="single" w:sz="6" w:space="0" w:color="auto"/>
              <w:right w:val="single" w:sz="6" w:space="0" w:color="auto"/>
            </w:tcBorders>
          </w:tcPr>
          <w:p w14:paraId="3D1041C1"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Energy Sources</w:t>
            </w:r>
          </w:p>
        </w:tc>
        <w:tc>
          <w:tcPr>
            <w:tcW w:w="2098" w:type="dxa"/>
            <w:tcBorders>
              <w:top w:val="single" w:sz="12" w:space="0" w:color="auto"/>
              <w:left w:val="single" w:sz="6" w:space="0" w:color="auto"/>
              <w:bottom w:val="single" w:sz="6" w:space="0" w:color="auto"/>
              <w:right w:val="single" w:sz="6" w:space="0" w:color="auto"/>
            </w:tcBorders>
          </w:tcPr>
          <w:p w14:paraId="33B76D4B" w14:textId="77777777" w:rsidR="008D5D0F" w:rsidRPr="001316B0" w:rsidRDefault="008D5D0F"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Uni</w:t>
            </w:r>
            <w:r w:rsidR="00EF4D06" w:rsidRPr="001316B0">
              <w:rPr>
                <w:rFonts w:ascii="Arial" w:hAnsi="Arial" w:cs="Arial"/>
                <w:lang w:val="en-GB" w:eastAsia="pt-BR"/>
              </w:rPr>
              <w:t>ts</w:t>
            </w:r>
          </w:p>
        </w:tc>
        <w:tc>
          <w:tcPr>
            <w:tcW w:w="2154" w:type="dxa"/>
            <w:tcBorders>
              <w:top w:val="single" w:sz="12" w:space="0" w:color="auto"/>
              <w:left w:val="single" w:sz="6" w:space="0" w:color="auto"/>
              <w:bottom w:val="single" w:sz="6" w:space="0" w:color="auto"/>
              <w:right w:val="single" w:sz="6" w:space="0" w:color="auto"/>
            </w:tcBorders>
          </w:tcPr>
          <w:p w14:paraId="1EE8AA78"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Resources and Reserves</w:t>
            </w:r>
          </w:p>
        </w:tc>
        <w:tc>
          <w:tcPr>
            <w:tcW w:w="2268" w:type="dxa"/>
            <w:tcBorders>
              <w:top w:val="single" w:sz="12" w:space="0" w:color="auto"/>
              <w:left w:val="single" w:sz="6" w:space="0" w:color="auto"/>
              <w:bottom w:val="single" w:sz="6" w:space="0" w:color="auto"/>
              <w:right w:val="single" w:sz="12" w:space="0" w:color="auto"/>
            </w:tcBorders>
          </w:tcPr>
          <w:p w14:paraId="5EE0775D"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 xml:space="preserve">Energy Equivalent </w:t>
            </w:r>
            <w:r w:rsidR="008D5D0F" w:rsidRPr="001316B0">
              <w:rPr>
                <w:rFonts w:ascii="Arial" w:hAnsi="Arial" w:cs="Arial"/>
                <w:lang w:val="en-GB" w:eastAsia="pt-BR"/>
              </w:rPr>
              <w:t xml:space="preserve">– </w:t>
            </w:r>
            <w:proofErr w:type="spellStart"/>
            <w:r w:rsidR="0047697B" w:rsidRPr="001316B0">
              <w:rPr>
                <w:rFonts w:ascii="Arial" w:hAnsi="Arial" w:cs="Arial"/>
                <w:lang w:val="en-GB" w:eastAsia="pt-BR"/>
              </w:rPr>
              <w:t>Mtoe</w:t>
            </w:r>
            <w:proofErr w:type="spellEnd"/>
          </w:p>
        </w:tc>
      </w:tr>
      <w:tr w:rsidR="008D5D0F" w:rsidRPr="001316B0" w14:paraId="44C5C021" w14:textId="77777777" w:rsidTr="00E10D16">
        <w:trPr>
          <w:jc w:val="center"/>
        </w:trPr>
        <w:tc>
          <w:tcPr>
            <w:tcW w:w="2235" w:type="dxa"/>
            <w:tcBorders>
              <w:top w:val="single" w:sz="6" w:space="0" w:color="auto"/>
              <w:left w:val="single" w:sz="12" w:space="0" w:color="auto"/>
              <w:bottom w:val="single" w:sz="6" w:space="0" w:color="auto"/>
              <w:right w:val="single" w:sz="6" w:space="0" w:color="auto"/>
            </w:tcBorders>
          </w:tcPr>
          <w:p w14:paraId="6D105CD2" w14:textId="77777777" w:rsidR="008D5D0F" w:rsidRPr="001316B0" w:rsidRDefault="008D5D0F"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Petr</w:t>
            </w:r>
            <w:r w:rsidR="00EF4D06" w:rsidRPr="001316B0">
              <w:rPr>
                <w:rFonts w:ascii="Arial" w:hAnsi="Arial" w:cs="Arial"/>
                <w:lang w:val="en-GB" w:eastAsia="pt-BR"/>
              </w:rPr>
              <w:t>oleum</w:t>
            </w:r>
          </w:p>
        </w:tc>
        <w:tc>
          <w:tcPr>
            <w:tcW w:w="2098" w:type="dxa"/>
            <w:tcBorders>
              <w:top w:val="single" w:sz="6" w:space="0" w:color="auto"/>
              <w:left w:val="single" w:sz="6" w:space="0" w:color="auto"/>
              <w:bottom w:val="single" w:sz="6" w:space="0" w:color="auto"/>
              <w:right w:val="single" w:sz="6" w:space="0" w:color="auto"/>
            </w:tcBorders>
          </w:tcPr>
          <w:p w14:paraId="27C5D1FC"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10</w:t>
            </w:r>
            <w:r w:rsidR="00664200" w:rsidRPr="001316B0">
              <w:rPr>
                <w:rFonts w:ascii="Arial" w:hAnsi="Arial" w:cs="Arial"/>
                <w:vertAlign w:val="superscript"/>
                <w:lang w:val="en-GB" w:eastAsia="pt-BR"/>
              </w:rPr>
              <w:t>6</w:t>
            </w:r>
            <w:r w:rsidRPr="001316B0">
              <w:rPr>
                <w:rFonts w:ascii="Arial" w:hAnsi="Arial" w:cs="Arial"/>
                <w:lang w:val="en-GB" w:eastAsia="pt-BR"/>
              </w:rPr>
              <w:t xml:space="preserve"> m</w:t>
            </w:r>
            <w:r w:rsidRPr="001316B0">
              <w:rPr>
                <w:rFonts w:ascii="Arial" w:hAnsi="Arial" w:cs="Arial"/>
                <w:vertAlign w:val="superscript"/>
                <w:lang w:val="en-GB" w:eastAsia="pt-BR"/>
              </w:rPr>
              <w:t>3</w:t>
            </w:r>
          </w:p>
        </w:tc>
        <w:tc>
          <w:tcPr>
            <w:tcW w:w="2154" w:type="dxa"/>
            <w:tcBorders>
              <w:top w:val="single" w:sz="6" w:space="0" w:color="auto"/>
              <w:left w:val="single" w:sz="6" w:space="0" w:color="auto"/>
              <w:bottom w:val="single" w:sz="6" w:space="0" w:color="auto"/>
              <w:right w:val="single" w:sz="6" w:space="0" w:color="auto"/>
            </w:tcBorders>
          </w:tcPr>
          <w:p w14:paraId="6B158763" w14:textId="77777777" w:rsidR="008D5D0F" w:rsidRPr="001316B0" w:rsidRDefault="00664200"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2044</w:t>
            </w:r>
          </w:p>
        </w:tc>
        <w:tc>
          <w:tcPr>
            <w:tcW w:w="2268" w:type="dxa"/>
            <w:tcBorders>
              <w:top w:val="single" w:sz="6" w:space="0" w:color="auto"/>
              <w:left w:val="single" w:sz="6" w:space="0" w:color="auto"/>
              <w:bottom w:val="single" w:sz="6" w:space="0" w:color="auto"/>
              <w:right w:val="single" w:sz="12" w:space="0" w:color="auto"/>
            </w:tcBorders>
          </w:tcPr>
          <w:p w14:paraId="33F7CED0" w14:textId="77777777" w:rsidR="008D5D0F" w:rsidRPr="001316B0" w:rsidRDefault="00EF4D06"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w:t>
            </w:r>
            <w:r w:rsidR="00664200" w:rsidRPr="001316B0">
              <w:rPr>
                <w:rFonts w:ascii="Arial" w:hAnsi="Arial" w:cs="Arial"/>
                <w:lang w:val="en-GB" w:eastAsia="pt-BR"/>
              </w:rPr>
              <w:t>823</w:t>
            </w:r>
          </w:p>
        </w:tc>
      </w:tr>
      <w:tr w:rsidR="008D5D0F" w:rsidRPr="001316B0" w14:paraId="1988FF4F" w14:textId="77777777" w:rsidTr="00E10D16">
        <w:trPr>
          <w:jc w:val="center"/>
        </w:trPr>
        <w:tc>
          <w:tcPr>
            <w:tcW w:w="2235" w:type="dxa"/>
            <w:tcBorders>
              <w:top w:val="single" w:sz="6" w:space="0" w:color="auto"/>
              <w:left w:val="single" w:sz="12" w:space="0" w:color="auto"/>
              <w:bottom w:val="single" w:sz="6" w:space="0" w:color="auto"/>
              <w:right w:val="single" w:sz="6" w:space="0" w:color="auto"/>
            </w:tcBorders>
          </w:tcPr>
          <w:p w14:paraId="71687F29"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Natural Gas</w:t>
            </w:r>
          </w:p>
        </w:tc>
        <w:tc>
          <w:tcPr>
            <w:tcW w:w="2098" w:type="dxa"/>
            <w:tcBorders>
              <w:top w:val="single" w:sz="6" w:space="0" w:color="auto"/>
              <w:left w:val="single" w:sz="6" w:space="0" w:color="auto"/>
              <w:bottom w:val="single" w:sz="6" w:space="0" w:color="auto"/>
              <w:right w:val="single" w:sz="6" w:space="0" w:color="auto"/>
            </w:tcBorders>
          </w:tcPr>
          <w:p w14:paraId="50E34B8B"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10</w:t>
            </w:r>
            <w:r w:rsidR="00664200" w:rsidRPr="001316B0">
              <w:rPr>
                <w:rFonts w:ascii="Arial" w:hAnsi="Arial" w:cs="Arial"/>
                <w:vertAlign w:val="superscript"/>
                <w:lang w:val="en-GB" w:eastAsia="pt-BR"/>
              </w:rPr>
              <w:t>9</w:t>
            </w:r>
            <w:r w:rsidRPr="001316B0">
              <w:rPr>
                <w:rFonts w:ascii="Arial" w:hAnsi="Arial" w:cs="Arial"/>
                <w:lang w:val="en-GB" w:eastAsia="pt-BR"/>
              </w:rPr>
              <w:t xml:space="preserve"> m</w:t>
            </w:r>
            <w:r w:rsidRPr="001316B0">
              <w:rPr>
                <w:rFonts w:ascii="Arial" w:hAnsi="Arial" w:cs="Arial"/>
                <w:vertAlign w:val="superscript"/>
                <w:lang w:val="en-GB" w:eastAsia="pt-BR"/>
              </w:rPr>
              <w:t>3</w:t>
            </w:r>
          </w:p>
        </w:tc>
        <w:tc>
          <w:tcPr>
            <w:tcW w:w="2154" w:type="dxa"/>
            <w:tcBorders>
              <w:top w:val="single" w:sz="6" w:space="0" w:color="auto"/>
              <w:left w:val="single" w:sz="6" w:space="0" w:color="auto"/>
              <w:bottom w:val="single" w:sz="6" w:space="0" w:color="auto"/>
              <w:right w:val="single" w:sz="6" w:space="0" w:color="auto"/>
            </w:tcBorders>
          </w:tcPr>
          <w:p w14:paraId="3AD5F2E1" w14:textId="77777777" w:rsidR="008D5D0F" w:rsidRPr="001316B0" w:rsidRDefault="00C815B1"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366</w:t>
            </w:r>
          </w:p>
        </w:tc>
        <w:tc>
          <w:tcPr>
            <w:tcW w:w="2268" w:type="dxa"/>
            <w:tcBorders>
              <w:top w:val="single" w:sz="6" w:space="0" w:color="auto"/>
              <w:left w:val="single" w:sz="6" w:space="0" w:color="auto"/>
              <w:bottom w:val="single" w:sz="6" w:space="0" w:color="auto"/>
              <w:right w:val="single" w:sz="12" w:space="0" w:color="auto"/>
            </w:tcBorders>
          </w:tcPr>
          <w:p w14:paraId="3CD38458" w14:textId="77777777" w:rsidR="008D5D0F" w:rsidRPr="001316B0" w:rsidRDefault="00664200"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364</w:t>
            </w:r>
          </w:p>
        </w:tc>
      </w:tr>
      <w:tr w:rsidR="008D5D0F" w:rsidRPr="001316B0" w14:paraId="55422BC5" w14:textId="77777777" w:rsidTr="00E10D16">
        <w:trPr>
          <w:jc w:val="center"/>
        </w:trPr>
        <w:tc>
          <w:tcPr>
            <w:tcW w:w="2235" w:type="dxa"/>
            <w:tcBorders>
              <w:top w:val="single" w:sz="6" w:space="0" w:color="auto"/>
              <w:left w:val="single" w:sz="12" w:space="0" w:color="auto"/>
              <w:bottom w:val="single" w:sz="6" w:space="0" w:color="auto"/>
              <w:right w:val="single" w:sz="6" w:space="0" w:color="auto"/>
            </w:tcBorders>
          </w:tcPr>
          <w:p w14:paraId="37B73D49"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 xml:space="preserve">Mineral Coal </w:t>
            </w:r>
            <w:r w:rsidR="008D5D0F" w:rsidRPr="001316B0">
              <w:rPr>
                <w:rFonts w:ascii="Arial" w:hAnsi="Arial" w:cs="Arial"/>
                <w:lang w:val="en-GB" w:eastAsia="pt-BR"/>
              </w:rPr>
              <w:t xml:space="preserve">– </w:t>
            </w:r>
            <w:r w:rsidR="008D5D0F" w:rsidRPr="001316B0">
              <w:rPr>
                <w:rFonts w:ascii="Arial" w:hAnsi="Arial" w:cs="Arial"/>
                <w:i/>
                <w:lang w:val="en-GB" w:eastAsia="pt-BR"/>
              </w:rPr>
              <w:t>in situ</w:t>
            </w:r>
          </w:p>
        </w:tc>
        <w:tc>
          <w:tcPr>
            <w:tcW w:w="2098" w:type="dxa"/>
            <w:tcBorders>
              <w:top w:val="single" w:sz="6" w:space="0" w:color="auto"/>
              <w:left w:val="single" w:sz="6" w:space="0" w:color="auto"/>
              <w:bottom w:val="single" w:sz="6" w:space="0" w:color="auto"/>
              <w:right w:val="single" w:sz="6" w:space="0" w:color="auto"/>
            </w:tcBorders>
          </w:tcPr>
          <w:p w14:paraId="0BB6ED38"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10</w:t>
            </w:r>
            <w:r w:rsidRPr="001316B0">
              <w:rPr>
                <w:rFonts w:ascii="Arial" w:hAnsi="Arial" w:cs="Arial"/>
                <w:vertAlign w:val="superscript"/>
                <w:lang w:val="en-GB" w:eastAsia="pt-BR"/>
              </w:rPr>
              <w:t>6</w:t>
            </w:r>
            <w:r w:rsidRPr="001316B0">
              <w:rPr>
                <w:rFonts w:ascii="Arial" w:hAnsi="Arial" w:cs="Arial"/>
                <w:lang w:val="en-GB" w:eastAsia="pt-BR"/>
              </w:rPr>
              <w:t xml:space="preserve"> t</w:t>
            </w:r>
          </w:p>
        </w:tc>
        <w:tc>
          <w:tcPr>
            <w:tcW w:w="2154" w:type="dxa"/>
            <w:tcBorders>
              <w:top w:val="single" w:sz="6" w:space="0" w:color="auto"/>
              <w:left w:val="single" w:sz="6" w:space="0" w:color="auto"/>
              <w:bottom w:val="single" w:sz="6" w:space="0" w:color="auto"/>
              <w:right w:val="single" w:sz="6" w:space="0" w:color="auto"/>
            </w:tcBorders>
          </w:tcPr>
          <w:p w14:paraId="03B72CB4" w14:textId="77777777" w:rsidR="008D5D0F" w:rsidRPr="001316B0" w:rsidRDefault="00C815B1"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25</w:t>
            </w:r>
            <w:r w:rsidR="00EF4D06" w:rsidRPr="001316B0">
              <w:rPr>
                <w:rFonts w:ascii="Arial" w:hAnsi="Arial" w:cs="Arial"/>
                <w:lang w:val="en-GB" w:eastAsia="pt-BR"/>
              </w:rPr>
              <w:t>,</w:t>
            </w:r>
            <w:r w:rsidRPr="001316B0">
              <w:rPr>
                <w:rFonts w:ascii="Arial" w:hAnsi="Arial" w:cs="Arial"/>
                <w:lang w:val="en-GB" w:eastAsia="pt-BR"/>
              </w:rPr>
              <w:t>777</w:t>
            </w:r>
          </w:p>
        </w:tc>
        <w:tc>
          <w:tcPr>
            <w:tcW w:w="2268" w:type="dxa"/>
            <w:tcBorders>
              <w:top w:val="single" w:sz="6" w:space="0" w:color="auto"/>
              <w:left w:val="single" w:sz="6" w:space="0" w:color="auto"/>
              <w:bottom w:val="single" w:sz="6" w:space="0" w:color="auto"/>
              <w:right w:val="single" w:sz="12" w:space="0" w:color="auto"/>
            </w:tcBorders>
          </w:tcPr>
          <w:p w14:paraId="253AA113" w14:textId="77777777" w:rsidR="008D5D0F" w:rsidRPr="001316B0" w:rsidRDefault="00EF4D06"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7,</w:t>
            </w:r>
            <w:r w:rsidR="00664200" w:rsidRPr="001316B0">
              <w:rPr>
                <w:rFonts w:ascii="Arial" w:hAnsi="Arial" w:cs="Arial"/>
                <w:lang w:val="en-GB" w:eastAsia="pt-BR"/>
              </w:rPr>
              <w:t>037</w:t>
            </w:r>
            <w:r w:rsidR="008D5D0F" w:rsidRPr="001316B0">
              <w:rPr>
                <w:rFonts w:ascii="Arial" w:hAnsi="Arial" w:cs="Arial"/>
                <w:lang w:val="en-GB" w:eastAsia="pt-BR"/>
              </w:rPr>
              <w:t xml:space="preserve"> </w:t>
            </w:r>
            <w:r w:rsidR="00664200" w:rsidRPr="001316B0">
              <w:rPr>
                <w:rFonts w:ascii="Arial" w:hAnsi="Arial" w:cs="Arial"/>
                <w:vertAlign w:val="superscript"/>
                <w:lang w:val="en-GB" w:eastAsia="pt-BR"/>
              </w:rPr>
              <w:t>(1</w:t>
            </w:r>
            <w:r w:rsidR="008D5D0F" w:rsidRPr="001316B0">
              <w:rPr>
                <w:rFonts w:ascii="Arial" w:hAnsi="Arial" w:cs="Arial"/>
                <w:vertAlign w:val="superscript"/>
                <w:lang w:val="en-GB" w:eastAsia="pt-BR"/>
              </w:rPr>
              <w:t>)</w:t>
            </w:r>
          </w:p>
        </w:tc>
      </w:tr>
      <w:tr w:rsidR="008D5D0F" w:rsidRPr="001316B0" w14:paraId="1AA9D5DD" w14:textId="77777777" w:rsidTr="00E10D16">
        <w:trPr>
          <w:jc w:val="center"/>
        </w:trPr>
        <w:tc>
          <w:tcPr>
            <w:tcW w:w="2235" w:type="dxa"/>
            <w:tcBorders>
              <w:top w:val="single" w:sz="6" w:space="0" w:color="auto"/>
              <w:left w:val="single" w:sz="12" w:space="0" w:color="auto"/>
              <w:bottom w:val="single" w:sz="6" w:space="0" w:color="auto"/>
              <w:right w:val="single" w:sz="6" w:space="0" w:color="auto"/>
            </w:tcBorders>
          </w:tcPr>
          <w:p w14:paraId="6696048C"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Hydroelectricity</w:t>
            </w:r>
          </w:p>
        </w:tc>
        <w:tc>
          <w:tcPr>
            <w:tcW w:w="2098" w:type="dxa"/>
            <w:tcBorders>
              <w:top w:val="single" w:sz="6" w:space="0" w:color="auto"/>
              <w:left w:val="single" w:sz="6" w:space="0" w:color="auto"/>
              <w:bottom w:val="single" w:sz="6" w:space="0" w:color="auto"/>
              <w:right w:val="single" w:sz="6" w:space="0" w:color="auto"/>
            </w:tcBorders>
          </w:tcPr>
          <w:p w14:paraId="243962DA" w14:textId="77777777" w:rsidR="008D5D0F" w:rsidRPr="001316B0" w:rsidRDefault="008D5D0F"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 xml:space="preserve">GW </w:t>
            </w:r>
            <w:r w:rsidR="00EF4D06" w:rsidRPr="001316B0">
              <w:rPr>
                <w:rFonts w:ascii="Arial" w:hAnsi="Arial" w:cs="Arial"/>
                <w:lang w:val="en-GB" w:eastAsia="pt-BR"/>
              </w:rPr>
              <w:t>year</w:t>
            </w:r>
            <w:r w:rsidRPr="001316B0">
              <w:rPr>
                <w:rFonts w:ascii="Arial" w:hAnsi="Arial" w:cs="Arial"/>
                <w:lang w:val="en-GB" w:eastAsia="pt-BR"/>
              </w:rPr>
              <w:t xml:space="preserve"> </w:t>
            </w:r>
            <w:r w:rsidR="00664200" w:rsidRPr="001316B0">
              <w:rPr>
                <w:rFonts w:ascii="Arial" w:hAnsi="Arial" w:cs="Arial"/>
                <w:vertAlign w:val="superscript"/>
                <w:lang w:val="en-GB" w:eastAsia="pt-BR"/>
              </w:rPr>
              <w:t>(2</w:t>
            </w:r>
            <w:r w:rsidRPr="001316B0">
              <w:rPr>
                <w:rFonts w:ascii="Arial" w:hAnsi="Arial" w:cs="Arial"/>
                <w:vertAlign w:val="superscript"/>
                <w:lang w:val="en-GB" w:eastAsia="pt-BR"/>
              </w:rPr>
              <w:t>)</w:t>
            </w:r>
          </w:p>
        </w:tc>
        <w:tc>
          <w:tcPr>
            <w:tcW w:w="2154" w:type="dxa"/>
            <w:tcBorders>
              <w:top w:val="single" w:sz="6" w:space="0" w:color="auto"/>
              <w:left w:val="single" w:sz="6" w:space="0" w:color="auto"/>
              <w:bottom w:val="single" w:sz="6" w:space="0" w:color="auto"/>
              <w:right w:val="single" w:sz="6" w:space="0" w:color="auto"/>
            </w:tcBorders>
          </w:tcPr>
          <w:p w14:paraId="4891FF90" w14:textId="77777777" w:rsidR="008D5D0F" w:rsidRPr="001316B0" w:rsidRDefault="00664200"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w:t>
            </w:r>
            <w:r w:rsidR="00C815B1" w:rsidRPr="001316B0">
              <w:rPr>
                <w:rFonts w:ascii="Arial" w:hAnsi="Arial" w:cs="Arial"/>
                <w:lang w:val="en-GB" w:eastAsia="pt-BR"/>
              </w:rPr>
              <w:t>02</w:t>
            </w:r>
          </w:p>
        </w:tc>
        <w:tc>
          <w:tcPr>
            <w:tcW w:w="2268" w:type="dxa"/>
            <w:tcBorders>
              <w:top w:val="single" w:sz="6" w:space="0" w:color="auto"/>
              <w:left w:val="single" w:sz="6" w:space="0" w:color="auto"/>
              <w:bottom w:val="single" w:sz="6" w:space="0" w:color="auto"/>
              <w:right w:val="single" w:sz="12" w:space="0" w:color="auto"/>
            </w:tcBorders>
          </w:tcPr>
          <w:p w14:paraId="24062443" w14:textId="77777777" w:rsidR="008D5D0F" w:rsidRPr="001316B0" w:rsidRDefault="00664200"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77</w:t>
            </w:r>
            <w:r w:rsidR="008D5D0F" w:rsidRPr="001316B0">
              <w:rPr>
                <w:rFonts w:ascii="Arial" w:hAnsi="Arial" w:cs="Arial"/>
                <w:lang w:val="en-GB" w:eastAsia="pt-BR"/>
              </w:rPr>
              <w:t xml:space="preserve"> / </w:t>
            </w:r>
            <w:r w:rsidR="00EF4D06" w:rsidRPr="001316B0">
              <w:rPr>
                <w:rFonts w:ascii="Arial" w:hAnsi="Arial" w:cs="Arial"/>
                <w:lang w:val="en-GB" w:eastAsia="pt-BR"/>
              </w:rPr>
              <w:t>year</w:t>
            </w:r>
          </w:p>
        </w:tc>
      </w:tr>
      <w:tr w:rsidR="008D5D0F" w:rsidRPr="001316B0" w14:paraId="370208B4" w14:textId="77777777" w:rsidTr="00E10D16">
        <w:trPr>
          <w:jc w:val="center"/>
        </w:trPr>
        <w:tc>
          <w:tcPr>
            <w:tcW w:w="2235" w:type="dxa"/>
            <w:tcBorders>
              <w:top w:val="single" w:sz="6" w:space="0" w:color="auto"/>
              <w:left w:val="single" w:sz="12" w:space="0" w:color="auto"/>
              <w:bottom w:val="single" w:sz="12" w:space="0" w:color="auto"/>
              <w:right w:val="single" w:sz="6" w:space="0" w:color="auto"/>
            </w:tcBorders>
          </w:tcPr>
          <w:p w14:paraId="007E499E" w14:textId="77777777" w:rsidR="008D5D0F" w:rsidRPr="001316B0" w:rsidRDefault="00EF4D06" w:rsidP="00EF4D06">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Nuclear Energy</w:t>
            </w:r>
          </w:p>
        </w:tc>
        <w:tc>
          <w:tcPr>
            <w:tcW w:w="2098" w:type="dxa"/>
            <w:tcBorders>
              <w:top w:val="single" w:sz="6" w:space="0" w:color="auto"/>
              <w:left w:val="single" w:sz="6" w:space="0" w:color="auto"/>
              <w:bottom w:val="single" w:sz="12" w:space="0" w:color="auto"/>
              <w:right w:val="single" w:sz="6" w:space="0" w:color="auto"/>
            </w:tcBorders>
          </w:tcPr>
          <w:p w14:paraId="07DAED12" w14:textId="77777777" w:rsidR="008D5D0F" w:rsidRPr="001316B0" w:rsidRDefault="00C815B1"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10</w:t>
            </w:r>
            <w:r w:rsidRPr="001316B0">
              <w:rPr>
                <w:rFonts w:ascii="Arial" w:hAnsi="Arial" w:cs="Arial"/>
                <w:vertAlign w:val="superscript"/>
                <w:lang w:val="en-GB" w:eastAsia="pt-BR"/>
              </w:rPr>
              <w:t xml:space="preserve">3 </w:t>
            </w:r>
            <w:r w:rsidR="008D5D0F" w:rsidRPr="001316B0">
              <w:rPr>
                <w:rFonts w:ascii="Arial" w:hAnsi="Arial" w:cs="Arial"/>
                <w:lang w:val="en-GB" w:eastAsia="pt-BR"/>
              </w:rPr>
              <w:t>t U</w:t>
            </w:r>
            <w:r w:rsidR="008D5D0F" w:rsidRPr="001316B0">
              <w:rPr>
                <w:rFonts w:ascii="Arial" w:hAnsi="Arial" w:cs="Arial"/>
                <w:vertAlign w:val="subscript"/>
                <w:lang w:val="en-GB" w:eastAsia="pt-BR"/>
              </w:rPr>
              <w:t>3</w:t>
            </w:r>
            <w:r w:rsidR="008D5D0F" w:rsidRPr="001316B0">
              <w:rPr>
                <w:rFonts w:ascii="Arial" w:hAnsi="Arial" w:cs="Arial"/>
                <w:lang w:val="en-GB" w:eastAsia="pt-BR"/>
              </w:rPr>
              <w:t>O</w:t>
            </w:r>
            <w:r w:rsidR="008D5D0F" w:rsidRPr="001316B0">
              <w:rPr>
                <w:rFonts w:ascii="Arial" w:hAnsi="Arial" w:cs="Arial"/>
                <w:vertAlign w:val="subscript"/>
                <w:lang w:val="en-GB" w:eastAsia="pt-BR"/>
              </w:rPr>
              <w:t>8</w:t>
            </w:r>
          </w:p>
        </w:tc>
        <w:tc>
          <w:tcPr>
            <w:tcW w:w="2154" w:type="dxa"/>
            <w:tcBorders>
              <w:top w:val="single" w:sz="6" w:space="0" w:color="auto"/>
              <w:left w:val="single" w:sz="6" w:space="0" w:color="auto"/>
              <w:bottom w:val="single" w:sz="12" w:space="0" w:color="auto"/>
              <w:right w:val="single" w:sz="6" w:space="0" w:color="auto"/>
            </w:tcBorders>
          </w:tcPr>
          <w:p w14:paraId="74C587A1"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17</w:t>
            </w:r>
            <w:r w:rsidR="00C815B1" w:rsidRPr="001316B0">
              <w:rPr>
                <w:rFonts w:ascii="Arial" w:hAnsi="Arial" w:cs="Arial"/>
                <w:lang w:val="en-GB" w:eastAsia="pt-BR"/>
              </w:rPr>
              <w:t>8</w:t>
            </w:r>
          </w:p>
        </w:tc>
        <w:tc>
          <w:tcPr>
            <w:tcW w:w="2268" w:type="dxa"/>
            <w:tcBorders>
              <w:top w:val="single" w:sz="6" w:space="0" w:color="auto"/>
              <w:left w:val="single" w:sz="6" w:space="0" w:color="auto"/>
              <w:bottom w:val="single" w:sz="12" w:space="0" w:color="auto"/>
              <w:right w:val="single" w:sz="12" w:space="0" w:color="auto"/>
            </w:tcBorders>
          </w:tcPr>
          <w:p w14:paraId="58F12AC1" w14:textId="77777777" w:rsidR="008D5D0F" w:rsidRPr="001316B0" w:rsidRDefault="00EF4D06" w:rsidP="002904EE">
            <w:pPr>
              <w:tabs>
                <w:tab w:val="decimal" w:pos="3024"/>
                <w:tab w:val="decimal" w:pos="4032"/>
                <w:tab w:val="decimal" w:pos="5040"/>
                <w:tab w:val="decimal" w:pos="5904"/>
                <w:tab w:val="decimal" w:pos="7056"/>
                <w:tab w:val="decimal" w:pos="8064"/>
              </w:tabs>
              <w:spacing w:line="360" w:lineRule="auto"/>
              <w:jc w:val="center"/>
              <w:rPr>
                <w:rFonts w:ascii="Arial" w:hAnsi="Arial" w:cs="Arial"/>
                <w:lang w:val="en-GB" w:eastAsia="pt-BR"/>
              </w:rPr>
            </w:pPr>
            <w:r w:rsidRPr="001316B0">
              <w:rPr>
                <w:rFonts w:ascii="Arial" w:hAnsi="Arial" w:cs="Arial"/>
                <w:lang w:val="en-GB" w:eastAsia="pt-BR"/>
              </w:rPr>
              <w:t>1,</w:t>
            </w:r>
            <w:r w:rsidR="00C815B1" w:rsidRPr="001316B0">
              <w:rPr>
                <w:rFonts w:ascii="Arial" w:hAnsi="Arial" w:cs="Arial"/>
                <w:lang w:val="en-GB" w:eastAsia="pt-BR"/>
              </w:rPr>
              <w:t>254</w:t>
            </w:r>
            <w:r w:rsidR="008D5D0F" w:rsidRPr="001316B0">
              <w:rPr>
                <w:rFonts w:ascii="Arial" w:hAnsi="Arial" w:cs="Arial"/>
                <w:lang w:val="en-GB" w:eastAsia="pt-BR"/>
              </w:rPr>
              <w:t xml:space="preserve"> </w:t>
            </w:r>
            <w:r w:rsidR="00664200" w:rsidRPr="001316B0">
              <w:rPr>
                <w:rFonts w:ascii="Arial" w:hAnsi="Arial" w:cs="Arial"/>
                <w:vertAlign w:val="superscript"/>
                <w:lang w:val="en-GB" w:eastAsia="pt-BR"/>
              </w:rPr>
              <w:t>(3</w:t>
            </w:r>
            <w:r w:rsidR="008D5D0F" w:rsidRPr="001316B0">
              <w:rPr>
                <w:rFonts w:ascii="Arial" w:hAnsi="Arial" w:cs="Arial"/>
                <w:vertAlign w:val="superscript"/>
                <w:lang w:val="en-GB" w:eastAsia="pt-BR"/>
              </w:rPr>
              <w:t>)</w:t>
            </w:r>
          </w:p>
        </w:tc>
      </w:tr>
    </w:tbl>
    <w:p w14:paraId="6414AC04"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p>
    <w:p w14:paraId="0818125D"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 xml:space="preserve">(1) </w:t>
      </w:r>
      <w:r w:rsidR="009E5F93" w:rsidRPr="001316B0">
        <w:rPr>
          <w:rFonts w:ascii="Arial" w:hAnsi="Arial" w:cs="Arial"/>
          <w:lang w:val="en-GB" w:eastAsia="pt-BR"/>
        </w:rPr>
        <w:t xml:space="preserve">Variable </w:t>
      </w:r>
      <w:r w:rsidR="00DF61FC" w:rsidRPr="001316B0">
        <w:rPr>
          <w:rFonts w:ascii="Arial" w:hAnsi="Arial" w:cs="Arial"/>
          <w:lang w:val="en-GB" w:eastAsia="pt-BR"/>
        </w:rPr>
        <w:t>conversion</w:t>
      </w:r>
      <w:r w:rsidR="009E5F93" w:rsidRPr="001316B0">
        <w:rPr>
          <w:rFonts w:ascii="Arial" w:hAnsi="Arial" w:cs="Arial"/>
          <w:lang w:val="en-GB" w:eastAsia="pt-BR"/>
        </w:rPr>
        <w:t xml:space="preserve"> coefficients allowing average recovery of</w:t>
      </w:r>
      <w:r w:rsidRPr="001316B0">
        <w:rPr>
          <w:rFonts w:ascii="Arial" w:hAnsi="Arial" w:cs="Arial"/>
          <w:lang w:val="en-GB" w:eastAsia="pt-BR"/>
        </w:rPr>
        <w:t xml:space="preserve"> 70 % </w:t>
      </w:r>
      <w:r w:rsidR="009E5F93" w:rsidRPr="001316B0">
        <w:rPr>
          <w:rFonts w:ascii="Arial" w:hAnsi="Arial" w:cs="Arial"/>
          <w:lang w:val="en-GB" w:eastAsia="pt-BR"/>
        </w:rPr>
        <w:t xml:space="preserve">and average </w:t>
      </w:r>
      <w:r w:rsidR="009E5F93" w:rsidRPr="001316B0">
        <w:rPr>
          <w:rFonts w:ascii="Arial" w:hAnsi="Arial" w:cs="Arial"/>
          <w:color w:val="000000" w:themeColor="text1"/>
          <w:lang w:val="en-GB" w:eastAsia="pt-BR"/>
        </w:rPr>
        <w:t>calorific power</w:t>
      </w:r>
      <w:r w:rsidR="009E5F93" w:rsidRPr="001316B0">
        <w:rPr>
          <w:rFonts w:ascii="Arial" w:hAnsi="Arial" w:cs="Arial"/>
          <w:lang w:val="en-GB" w:eastAsia="pt-BR"/>
        </w:rPr>
        <w:t xml:space="preserve"> of </w:t>
      </w:r>
      <w:r w:rsidRPr="001316B0">
        <w:rPr>
          <w:rFonts w:ascii="Arial" w:hAnsi="Arial" w:cs="Arial"/>
          <w:lang w:val="en-GB" w:eastAsia="pt-BR"/>
        </w:rPr>
        <w:t>3900 kcal/kg</w:t>
      </w:r>
    </w:p>
    <w:p w14:paraId="1E852565" w14:textId="77777777" w:rsidR="008D5D0F" w:rsidRPr="001316B0" w:rsidRDefault="00664200"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(2</w:t>
      </w:r>
      <w:r w:rsidR="008D5D0F" w:rsidRPr="001316B0">
        <w:rPr>
          <w:rFonts w:ascii="Arial" w:hAnsi="Arial" w:cs="Arial"/>
          <w:lang w:val="en-GB" w:eastAsia="pt-BR"/>
        </w:rPr>
        <w:t xml:space="preserve">) </w:t>
      </w:r>
      <w:r w:rsidR="00AE6CCA" w:rsidRPr="001316B0">
        <w:rPr>
          <w:rFonts w:ascii="Arial" w:hAnsi="Arial" w:cs="Arial"/>
          <w:lang w:val="en-GB" w:eastAsia="pt-BR"/>
        </w:rPr>
        <w:t>Annual firm energy</w:t>
      </w:r>
      <w:r w:rsidR="00B833D2" w:rsidRPr="001316B0">
        <w:rPr>
          <w:rFonts w:ascii="Arial" w:hAnsi="Arial" w:cs="Arial"/>
          <w:lang w:val="en-GB" w:eastAsia="pt-BR"/>
        </w:rPr>
        <w:t xml:space="preserve"> (</w:t>
      </w:r>
      <w:r w:rsidR="00AE6CCA" w:rsidRPr="001316B0">
        <w:rPr>
          <w:rFonts w:ascii="Arial" w:hAnsi="Arial" w:cs="Arial"/>
          <w:lang w:val="en-GB" w:eastAsia="pt-BR"/>
        </w:rPr>
        <w:t xml:space="preserve">capacity factor of </w:t>
      </w:r>
      <w:r w:rsidR="00B833D2" w:rsidRPr="001316B0">
        <w:rPr>
          <w:rFonts w:ascii="Arial" w:hAnsi="Arial" w:cs="Arial"/>
          <w:lang w:val="en-GB" w:eastAsia="pt-BR"/>
        </w:rPr>
        <w:t>55%)</w:t>
      </w:r>
      <w:r w:rsidR="00833DB2" w:rsidRPr="001316B0">
        <w:rPr>
          <w:rFonts w:ascii="Arial" w:hAnsi="Arial" w:cs="Arial"/>
          <w:lang w:val="en-GB" w:eastAsia="pt-BR"/>
        </w:rPr>
        <w:t xml:space="preserve">, 1 </w:t>
      </w:r>
      <w:proofErr w:type="spellStart"/>
      <w:r w:rsidR="00833DB2" w:rsidRPr="001316B0">
        <w:rPr>
          <w:rFonts w:ascii="Arial" w:hAnsi="Arial" w:cs="Arial"/>
          <w:lang w:val="en-GB" w:eastAsia="pt-BR"/>
        </w:rPr>
        <w:t>MWh</w:t>
      </w:r>
      <w:proofErr w:type="spellEnd"/>
      <w:r w:rsidR="00833DB2" w:rsidRPr="001316B0">
        <w:rPr>
          <w:rFonts w:ascii="Arial" w:hAnsi="Arial" w:cs="Arial"/>
          <w:lang w:val="en-GB" w:eastAsia="pt-BR"/>
        </w:rPr>
        <w:t>=0.</w:t>
      </w:r>
      <w:r w:rsidR="008D5D0F" w:rsidRPr="001316B0">
        <w:rPr>
          <w:rFonts w:ascii="Arial" w:hAnsi="Arial" w:cs="Arial"/>
          <w:lang w:val="en-GB" w:eastAsia="pt-BR"/>
        </w:rPr>
        <w:t xml:space="preserve">08 </w:t>
      </w:r>
      <w:r w:rsidR="00F673DA" w:rsidRPr="001316B0">
        <w:rPr>
          <w:rFonts w:ascii="Arial" w:hAnsi="Arial" w:cs="Arial"/>
          <w:lang w:val="en-GB" w:eastAsia="pt-BR"/>
        </w:rPr>
        <w:t>t</w:t>
      </w:r>
      <w:r w:rsidR="0047697B" w:rsidRPr="001316B0">
        <w:rPr>
          <w:rFonts w:ascii="Arial" w:hAnsi="Arial" w:cs="Arial"/>
          <w:lang w:val="en-GB" w:eastAsia="pt-BR"/>
        </w:rPr>
        <w:t>oe</w:t>
      </w:r>
    </w:p>
    <w:p w14:paraId="74F86297" w14:textId="77777777" w:rsidR="008D5D0F" w:rsidRPr="001316B0" w:rsidRDefault="00664200"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(3</w:t>
      </w:r>
      <w:r w:rsidR="008D5D0F" w:rsidRPr="001316B0">
        <w:rPr>
          <w:rFonts w:ascii="Arial" w:hAnsi="Arial" w:cs="Arial"/>
          <w:lang w:val="en-GB" w:eastAsia="pt-BR"/>
        </w:rPr>
        <w:t>)</w:t>
      </w:r>
      <w:r w:rsidR="00E60A94" w:rsidRPr="001316B0">
        <w:rPr>
          <w:rFonts w:ascii="Arial" w:hAnsi="Arial" w:cs="Arial"/>
          <w:lang w:val="en-GB" w:eastAsia="pt-BR"/>
        </w:rPr>
        <w:t xml:space="preserve"> </w:t>
      </w:r>
      <w:r w:rsidR="00DF61FC" w:rsidRPr="001316B0">
        <w:rPr>
          <w:rFonts w:ascii="Arial" w:hAnsi="Arial" w:cs="Arial"/>
          <w:lang w:val="en-GB" w:eastAsia="pt-BR"/>
        </w:rPr>
        <w:t xml:space="preserve">Considering losses of mining and </w:t>
      </w:r>
      <w:r w:rsidR="005E2059" w:rsidRPr="001316B0">
        <w:rPr>
          <w:rFonts w:ascii="Arial" w:hAnsi="Arial" w:cs="Arial"/>
          <w:lang w:val="en-GB" w:eastAsia="pt-BR"/>
        </w:rPr>
        <w:t>processing</w:t>
      </w:r>
      <w:r w:rsidR="008D5D0F" w:rsidRPr="001316B0">
        <w:rPr>
          <w:rFonts w:ascii="Arial" w:hAnsi="Arial" w:cs="Arial"/>
          <w:lang w:val="en-GB" w:eastAsia="pt-BR"/>
        </w:rPr>
        <w:t xml:space="preserve">, </w:t>
      </w:r>
      <w:r w:rsidR="00DF61FC" w:rsidRPr="001316B0">
        <w:rPr>
          <w:rFonts w:ascii="Arial" w:hAnsi="Arial" w:cs="Arial"/>
          <w:lang w:val="en-GB" w:eastAsia="pt-BR"/>
        </w:rPr>
        <w:t>without considering recycling of residual plutonium and uranium</w:t>
      </w:r>
      <w:r w:rsidR="008D5D0F" w:rsidRPr="001316B0">
        <w:rPr>
          <w:rFonts w:ascii="Arial" w:hAnsi="Arial" w:cs="Arial"/>
          <w:lang w:val="en-GB" w:eastAsia="pt-BR"/>
        </w:rPr>
        <w:t>.</w:t>
      </w:r>
    </w:p>
    <w:p w14:paraId="77EB1EF5" w14:textId="77777777" w:rsidR="008D5D0F" w:rsidRPr="001316B0" w:rsidRDefault="00833DB2"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Note</w:t>
      </w:r>
      <w:r w:rsidR="008D5D0F" w:rsidRPr="001316B0">
        <w:rPr>
          <w:rFonts w:ascii="Arial" w:hAnsi="Arial" w:cs="Arial"/>
          <w:lang w:val="en-GB" w:eastAsia="pt-BR"/>
        </w:rPr>
        <w:t xml:space="preserve">: 1 </w:t>
      </w:r>
      <w:r w:rsidR="0047697B" w:rsidRPr="001316B0">
        <w:rPr>
          <w:rFonts w:ascii="Arial" w:hAnsi="Arial" w:cs="Arial"/>
          <w:lang w:val="en-GB" w:eastAsia="pt-BR"/>
        </w:rPr>
        <w:t>Toe</w:t>
      </w:r>
      <w:r w:rsidR="008D5D0F" w:rsidRPr="001316B0">
        <w:rPr>
          <w:rFonts w:ascii="Arial" w:hAnsi="Arial" w:cs="Arial"/>
          <w:lang w:val="en-GB" w:eastAsia="pt-BR"/>
        </w:rPr>
        <w:t xml:space="preserve"> = 10.000 kcal</w:t>
      </w:r>
    </w:p>
    <w:p w14:paraId="120F909F" w14:textId="77777777" w:rsidR="008D5D0F" w:rsidRPr="001316B0" w:rsidRDefault="00833DB2"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r w:rsidRPr="001316B0">
        <w:rPr>
          <w:rFonts w:ascii="Arial" w:hAnsi="Arial" w:cs="Arial"/>
          <w:lang w:val="en-GB" w:eastAsia="pt-BR"/>
        </w:rPr>
        <w:t>Source</w:t>
      </w:r>
      <w:r w:rsidR="008D5D0F" w:rsidRPr="001316B0">
        <w:rPr>
          <w:rFonts w:ascii="Arial" w:hAnsi="Arial" w:cs="Arial"/>
          <w:lang w:val="en-GB" w:eastAsia="pt-BR"/>
        </w:rPr>
        <w:t xml:space="preserve">: </w:t>
      </w:r>
      <w:r w:rsidR="003C5B4B" w:rsidRPr="001316B0">
        <w:rPr>
          <w:rFonts w:ascii="Arial" w:hAnsi="Arial" w:cs="Arial"/>
          <w:lang w:val="en-GB" w:eastAsia="pt-BR"/>
        </w:rPr>
        <w:t>MME/</w:t>
      </w:r>
      <w:r w:rsidR="00275FB8" w:rsidRPr="001316B0">
        <w:rPr>
          <w:rFonts w:ascii="Arial" w:hAnsi="Arial" w:cs="Arial"/>
          <w:lang w:val="en-GB" w:eastAsia="pt-BR"/>
        </w:rPr>
        <w:t>EPE</w:t>
      </w:r>
      <w:r w:rsidR="008D5D0F" w:rsidRPr="001316B0">
        <w:rPr>
          <w:rFonts w:ascii="Arial" w:hAnsi="Arial" w:cs="Arial"/>
          <w:lang w:val="en-GB" w:eastAsia="pt-BR"/>
        </w:rPr>
        <w:t>; "</w:t>
      </w:r>
      <w:r w:rsidRPr="001316B0">
        <w:rPr>
          <w:rFonts w:ascii="Arial" w:hAnsi="Arial" w:cs="Arial"/>
          <w:lang w:val="en-GB" w:eastAsia="pt-BR"/>
        </w:rPr>
        <w:t xml:space="preserve">National Energy Balance </w:t>
      </w:r>
      <w:r w:rsidR="00B833D2" w:rsidRPr="001316B0">
        <w:rPr>
          <w:rFonts w:ascii="Arial" w:hAnsi="Arial" w:cs="Arial"/>
          <w:lang w:val="en-GB" w:eastAsia="pt-BR"/>
        </w:rPr>
        <w:t>", 2010</w:t>
      </w:r>
    </w:p>
    <w:p w14:paraId="7A2BE1B9" w14:textId="77777777" w:rsidR="008D5D0F" w:rsidRPr="001316B0" w:rsidRDefault="008D5D0F" w:rsidP="002904EE">
      <w:pPr>
        <w:tabs>
          <w:tab w:val="decimal" w:pos="3024"/>
          <w:tab w:val="decimal" w:pos="4032"/>
          <w:tab w:val="decimal" w:pos="5040"/>
          <w:tab w:val="decimal" w:pos="5904"/>
          <w:tab w:val="decimal" w:pos="7056"/>
          <w:tab w:val="decimal" w:pos="8064"/>
        </w:tabs>
        <w:spacing w:line="360" w:lineRule="auto"/>
        <w:jc w:val="both"/>
        <w:rPr>
          <w:rFonts w:ascii="Arial" w:hAnsi="Arial" w:cs="Arial"/>
          <w:lang w:val="en-GB" w:eastAsia="pt-BR"/>
        </w:rPr>
      </w:pPr>
    </w:p>
    <w:p w14:paraId="007F7EBB" w14:textId="77777777" w:rsidR="00635C84" w:rsidRPr="001316B0" w:rsidRDefault="00275FB8"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lastRenderedPageBreak/>
        <w:t>On the other hand, national petroleum production jumped from 9.</w:t>
      </w:r>
      <w:r w:rsidR="00635C84" w:rsidRPr="001316B0">
        <w:rPr>
          <w:rFonts w:ascii="Arial" w:hAnsi="Arial" w:cs="Arial"/>
          <w:lang w:val="en-GB" w:eastAsia="pt-BR"/>
        </w:rPr>
        <w:t xml:space="preserve">3 </w:t>
      </w:r>
      <w:r w:rsidRPr="001316B0">
        <w:rPr>
          <w:rFonts w:ascii="Arial" w:hAnsi="Arial" w:cs="Arial"/>
          <w:lang w:val="en-GB" w:eastAsia="pt-BR"/>
        </w:rPr>
        <w:t>to 28.</w:t>
      </w:r>
      <w:r w:rsidR="00635C84" w:rsidRPr="001316B0">
        <w:rPr>
          <w:rFonts w:ascii="Arial" w:hAnsi="Arial" w:cs="Arial"/>
          <w:lang w:val="en-GB" w:eastAsia="pt-BR"/>
        </w:rPr>
        <w:t xml:space="preserve">2 </w:t>
      </w:r>
      <w:proofErr w:type="spellStart"/>
      <w:r w:rsidR="0047697B" w:rsidRPr="001316B0">
        <w:rPr>
          <w:rFonts w:ascii="Arial" w:hAnsi="Arial" w:cs="Arial"/>
          <w:lang w:val="en-GB" w:eastAsia="pt-BR"/>
        </w:rPr>
        <w:t>Mtoe</w:t>
      </w:r>
      <w:proofErr w:type="spellEnd"/>
      <w:r w:rsidR="00635C84" w:rsidRPr="001316B0">
        <w:rPr>
          <w:rFonts w:ascii="Arial" w:hAnsi="Arial" w:cs="Arial"/>
          <w:lang w:val="en-GB" w:eastAsia="pt-BR"/>
        </w:rPr>
        <w:t xml:space="preserve"> </w:t>
      </w:r>
      <w:r w:rsidRPr="001316B0">
        <w:rPr>
          <w:rFonts w:ascii="Arial" w:hAnsi="Arial" w:cs="Arial"/>
          <w:lang w:val="en-GB" w:eastAsia="pt-BR"/>
        </w:rPr>
        <w:t xml:space="preserve">between </w:t>
      </w:r>
      <w:r w:rsidR="00635C84" w:rsidRPr="001316B0">
        <w:rPr>
          <w:rFonts w:ascii="Arial" w:hAnsi="Arial" w:cs="Arial"/>
          <w:lang w:val="en-GB" w:eastAsia="pt-BR"/>
        </w:rPr>
        <w:t>1980</w:t>
      </w:r>
      <w:r w:rsidRPr="001316B0">
        <w:rPr>
          <w:rFonts w:ascii="Arial" w:hAnsi="Arial" w:cs="Arial"/>
          <w:lang w:val="en-GB" w:eastAsia="pt-BR"/>
        </w:rPr>
        <w:t xml:space="preserve"> and</w:t>
      </w:r>
      <w:r w:rsidR="008878F7" w:rsidRPr="001316B0">
        <w:rPr>
          <w:rFonts w:ascii="Arial" w:hAnsi="Arial" w:cs="Arial"/>
          <w:lang w:val="en-GB" w:eastAsia="pt-BR"/>
        </w:rPr>
        <w:t xml:space="preserve"> 1985. </w:t>
      </w:r>
      <w:r w:rsidRPr="001316B0">
        <w:rPr>
          <w:rFonts w:ascii="Arial" w:hAnsi="Arial" w:cs="Arial"/>
          <w:lang w:val="en-GB" w:eastAsia="pt-BR"/>
        </w:rPr>
        <w:t xml:space="preserve">Subsequently, the </w:t>
      </w:r>
      <w:r w:rsidR="005E2059" w:rsidRPr="001316B0">
        <w:rPr>
          <w:rFonts w:ascii="Arial" w:hAnsi="Arial" w:cs="Arial"/>
          <w:lang w:val="en-GB" w:eastAsia="pt-BR"/>
        </w:rPr>
        <w:t xml:space="preserve">anti-shock of </w:t>
      </w:r>
      <w:r w:rsidRPr="001316B0">
        <w:rPr>
          <w:rFonts w:ascii="Arial" w:hAnsi="Arial" w:cs="Arial"/>
          <w:lang w:val="en-GB" w:eastAsia="pt-BR"/>
        </w:rPr>
        <w:t xml:space="preserve">oil prices that caused the drop of </w:t>
      </w:r>
      <w:r w:rsidR="0029642A" w:rsidRPr="001316B0">
        <w:rPr>
          <w:rFonts w:ascii="Arial" w:hAnsi="Arial" w:cs="Arial"/>
          <w:lang w:val="en-GB" w:eastAsia="pt-BR"/>
        </w:rPr>
        <w:t xml:space="preserve">international market value </w:t>
      </w:r>
      <w:r w:rsidRPr="001316B0">
        <w:rPr>
          <w:rFonts w:ascii="Arial" w:hAnsi="Arial" w:cs="Arial"/>
          <w:lang w:val="en-GB" w:eastAsia="pt-BR"/>
        </w:rPr>
        <w:t xml:space="preserve">in 1986 allowed </w:t>
      </w:r>
      <w:r w:rsidR="00BD5C02" w:rsidRPr="001316B0">
        <w:rPr>
          <w:rFonts w:ascii="Arial" w:hAnsi="Arial" w:cs="Arial"/>
          <w:lang w:val="en-GB" w:eastAsia="pt-BR"/>
        </w:rPr>
        <w:t xml:space="preserve">the </w:t>
      </w:r>
      <w:r w:rsidRPr="001316B0">
        <w:rPr>
          <w:rFonts w:ascii="Arial" w:hAnsi="Arial" w:cs="Arial"/>
          <w:lang w:val="en-GB" w:eastAsia="pt-BR"/>
        </w:rPr>
        <w:t xml:space="preserve">minimization </w:t>
      </w:r>
      <w:r w:rsidR="0029642A" w:rsidRPr="001316B0">
        <w:rPr>
          <w:rFonts w:ascii="Arial" w:hAnsi="Arial" w:cs="Arial"/>
          <w:lang w:val="en-GB" w:eastAsia="pt-BR"/>
        </w:rPr>
        <w:t>over balance of payments</w:t>
      </w:r>
      <w:r w:rsidR="00C4022D" w:rsidRPr="001316B0">
        <w:rPr>
          <w:rFonts w:ascii="Arial" w:hAnsi="Arial" w:cs="Arial"/>
          <w:lang w:val="en-GB" w:eastAsia="pt-BR"/>
        </w:rPr>
        <w:t xml:space="preserve">, </w:t>
      </w:r>
      <w:r w:rsidR="000C660A" w:rsidRPr="001316B0">
        <w:rPr>
          <w:rFonts w:ascii="Arial" w:hAnsi="Arial" w:cs="Arial"/>
          <w:lang w:val="en-GB" w:eastAsia="pt-BR"/>
        </w:rPr>
        <w:t>pressures of foreign currency expenditure</w:t>
      </w:r>
      <w:r w:rsidR="00635C84" w:rsidRPr="001316B0">
        <w:rPr>
          <w:rFonts w:ascii="Arial" w:hAnsi="Arial" w:cs="Arial"/>
          <w:lang w:val="en-GB" w:eastAsia="pt-BR"/>
        </w:rPr>
        <w:t xml:space="preserve"> </w:t>
      </w:r>
      <w:r w:rsidRPr="001316B0">
        <w:rPr>
          <w:rFonts w:ascii="Arial" w:hAnsi="Arial" w:cs="Arial"/>
          <w:lang w:val="en-GB" w:eastAsia="pt-BR"/>
        </w:rPr>
        <w:t>with net petroleum imports</w:t>
      </w:r>
      <w:r w:rsidR="00635C84" w:rsidRPr="001316B0">
        <w:rPr>
          <w:rFonts w:ascii="Arial" w:hAnsi="Arial" w:cs="Arial"/>
          <w:lang w:val="en-GB" w:eastAsia="pt-BR"/>
        </w:rPr>
        <w:t xml:space="preserve">: </w:t>
      </w:r>
      <w:r w:rsidRPr="001316B0">
        <w:rPr>
          <w:rFonts w:ascii="Arial" w:hAnsi="Arial" w:cs="Arial"/>
          <w:lang w:val="en-GB" w:eastAsia="pt-BR"/>
        </w:rPr>
        <w:t>the share of Brazilian export value, which was absorbed for this purpose and reached 47% in 1980, reached a mere 10% in 1986.</w:t>
      </w:r>
      <w:r w:rsidR="00635C84" w:rsidRPr="001316B0">
        <w:rPr>
          <w:rFonts w:ascii="Arial" w:hAnsi="Arial" w:cs="Arial"/>
          <w:lang w:val="en-GB" w:eastAsia="pt-BR"/>
        </w:rPr>
        <w:t xml:space="preserve"> </w:t>
      </w:r>
      <w:r w:rsidR="00EB65DE" w:rsidRPr="001316B0">
        <w:rPr>
          <w:rFonts w:ascii="Arial" w:hAnsi="Arial" w:cs="Arial"/>
          <w:lang w:val="en-GB" w:eastAsia="pt-BR"/>
        </w:rPr>
        <w:t xml:space="preserve">This level remained practically stable until </w:t>
      </w:r>
      <w:r w:rsidR="00635C84" w:rsidRPr="001316B0">
        <w:rPr>
          <w:rFonts w:ascii="Arial" w:hAnsi="Arial" w:cs="Arial"/>
          <w:lang w:val="en-GB" w:eastAsia="pt-BR"/>
        </w:rPr>
        <w:t>1993</w:t>
      </w:r>
      <w:r w:rsidR="00232763" w:rsidRPr="001316B0">
        <w:rPr>
          <w:rFonts w:ascii="Arial" w:hAnsi="Arial" w:cs="Arial"/>
          <w:lang w:val="en-GB" w:eastAsia="pt-BR"/>
        </w:rPr>
        <w:t>,</w:t>
      </w:r>
      <w:r w:rsidR="00EB65DE" w:rsidRPr="001316B0">
        <w:rPr>
          <w:rFonts w:ascii="Arial" w:hAnsi="Arial" w:cs="Arial"/>
          <w:lang w:val="en-GB" w:eastAsia="pt-BR"/>
        </w:rPr>
        <w:t xml:space="preserve"> when net imports of petroleum and by-products cost 3.</w:t>
      </w:r>
      <w:r w:rsidR="00635C84" w:rsidRPr="001316B0">
        <w:rPr>
          <w:rFonts w:ascii="Arial" w:hAnsi="Arial" w:cs="Arial"/>
          <w:lang w:val="en-GB" w:eastAsia="pt-BR"/>
        </w:rPr>
        <w:t xml:space="preserve">5 </w:t>
      </w:r>
      <w:r w:rsidR="00EB65DE" w:rsidRPr="001316B0">
        <w:rPr>
          <w:rFonts w:ascii="Arial" w:hAnsi="Arial" w:cs="Arial"/>
          <w:lang w:val="en-GB" w:eastAsia="pt-BR"/>
        </w:rPr>
        <w:t xml:space="preserve">billion dollars, corresponding to </w:t>
      </w:r>
      <w:r w:rsidR="00635C84" w:rsidRPr="001316B0">
        <w:rPr>
          <w:rFonts w:ascii="Arial" w:hAnsi="Arial" w:cs="Arial"/>
          <w:lang w:val="en-GB" w:eastAsia="pt-BR"/>
        </w:rPr>
        <w:t xml:space="preserve">9 % </w:t>
      </w:r>
      <w:r w:rsidR="00EB65DE" w:rsidRPr="001316B0">
        <w:rPr>
          <w:rFonts w:ascii="Arial" w:hAnsi="Arial" w:cs="Arial"/>
          <w:lang w:val="en-GB" w:eastAsia="pt-BR"/>
        </w:rPr>
        <w:t>of total national exports</w:t>
      </w:r>
      <w:r w:rsidR="00635C84" w:rsidRPr="001316B0">
        <w:rPr>
          <w:rFonts w:ascii="Arial" w:hAnsi="Arial" w:cs="Arial"/>
          <w:lang w:val="en-GB" w:eastAsia="pt-BR"/>
        </w:rPr>
        <w:t xml:space="preserve">. </w:t>
      </w:r>
      <w:r w:rsidR="00EB65DE" w:rsidRPr="001316B0">
        <w:rPr>
          <w:rFonts w:ascii="Arial" w:hAnsi="Arial" w:cs="Arial"/>
          <w:lang w:val="en-GB" w:eastAsia="pt-BR"/>
        </w:rPr>
        <w:t xml:space="preserve">After the stabilization of price levels and resumed financial growth in 1994, domestic demand of petroleum continued to grow, reaching </w:t>
      </w:r>
      <w:r w:rsidR="00635C84" w:rsidRPr="001316B0">
        <w:rPr>
          <w:rFonts w:ascii="Arial" w:hAnsi="Arial" w:cs="Arial"/>
          <w:lang w:val="en-GB" w:eastAsia="pt-BR"/>
        </w:rPr>
        <w:t xml:space="preserve">1/3 </w:t>
      </w:r>
      <w:r w:rsidR="00EB65DE" w:rsidRPr="001316B0">
        <w:rPr>
          <w:rFonts w:ascii="Arial" w:hAnsi="Arial" w:cs="Arial"/>
          <w:lang w:val="en-GB" w:eastAsia="pt-BR"/>
        </w:rPr>
        <w:t xml:space="preserve">of total primary energy consumption in </w:t>
      </w:r>
      <w:r w:rsidR="00635C84" w:rsidRPr="001316B0">
        <w:rPr>
          <w:rFonts w:ascii="Arial" w:hAnsi="Arial" w:cs="Arial"/>
          <w:lang w:val="en-GB" w:eastAsia="pt-BR"/>
        </w:rPr>
        <w:t xml:space="preserve">1997. </w:t>
      </w:r>
      <w:r w:rsidR="003F743F" w:rsidRPr="001316B0">
        <w:rPr>
          <w:rFonts w:ascii="Arial" w:hAnsi="Arial" w:cs="Arial"/>
          <w:lang w:val="en-GB" w:eastAsia="pt-BR"/>
        </w:rPr>
        <w:t xml:space="preserve">In spite of the significant raise in national petroleum production (reaching </w:t>
      </w:r>
      <w:r w:rsidR="00635C84" w:rsidRPr="001316B0">
        <w:rPr>
          <w:rFonts w:ascii="Arial" w:hAnsi="Arial" w:cs="Arial"/>
          <w:lang w:val="en-GB" w:eastAsia="pt-BR"/>
        </w:rPr>
        <w:t xml:space="preserve">44 </w:t>
      </w:r>
      <w:proofErr w:type="spellStart"/>
      <w:r w:rsidR="0047697B" w:rsidRPr="001316B0">
        <w:rPr>
          <w:rFonts w:ascii="Arial" w:hAnsi="Arial" w:cs="Arial"/>
          <w:lang w:val="en-GB" w:eastAsia="pt-BR"/>
        </w:rPr>
        <w:t>Mtoe</w:t>
      </w:r>
      <w:proofErr w:type="spellEnd"/>
      <w:r w:rsidR="00635C84" w:rsidRPr="001316B0">
        <w:rPr>
          <w:rFonts w:ascii="Arial" w:hAnsi="Arial" w:cs="Arial"/>
          <w:lang w:val="en-GB" w:eastAsia="pt-BR"/>
        </w:rPr>
        <w:t xml:space="preserve"> </w:t>
      </w:r>
      <w:r w:rsidR="003F743F" w:rsidRPr="001316B0">
        <w:rPr>
          <w:rFonts w:ascii="Arial" w:hAnsi="Arial" w:cs="Arial"/>
          <w:lang w:val="en-GB" w:eastAsia="pt-BR"/>
        </w:rPr>
        <w:t xml:space="preserve">in </w:t>
      </w:r>
      <w:r w:rsidR="00635C84" w:rsidRPr="001316B0">
        <w:rPr>
          <w:rFonts w:ascii="Arial" w:hAnsi="Arial" w:cs="Arial"/>
          <w:lang w:val="en-GB" w:eastAsia="pt-BR"/>
        </w:rPr>
        <w:t xml:space="preserve">1997), </w:t>
      </w:r>
      <w:r w:rsidR="003F743F" w:rsidRPr="001316B0">
        <w:rPr>
          <w:rFonts w:ascii="Arial" w:hAnsi="Arial" w:cs="Arial"/>
          <w:lang w:val="en-GB" w:eastAsia="pt-BR"/>
        </w:rPr>
        <w:t xml:space="preserve">imports resumed their growth and reached </w:t>
      </w:r>
      <w:r w:rsidR="00635C84" w:rsidRPr="001316B0">
        <w:rPr>
          <w:rFonts w:ascii="Arial" w:hAnsi="Arial" w:cs="Arial"/>
          <w:lang w:val="en-GB" w:eastAsia="pt-BR"/>
        </w:rPr>
        <w:t xml:space="preserve">39 </w:t>
      </w:r>
      <w:proofErr w:type="spellStart"/>
      <w:r w:rsidR="0047697B" w:rsidRPr="001316B0">
        <w:rPr>
          <w:rFonts w:ascii="Arial" w:hAnsi="Arial" w:cs="Arial"/>
          <w:lang w:val="en-GB" w:eastAsia="pt-BR"/>
        </w:rPr>
        <w:t>Mtoe</w:t>
      </w:r>
      <w:proofErr w:type="spellEnd"/>
      <w:r w:rsidR="00635C84" w:rsidRPr="001316B0">
        <w:rPr>
          <w:rFonts w:ascii="Arial" w:hAnsi="Arial" w:cs="Arial"/>
          <w:lang w:val="en-GB" w:eastAsia="pt-BR"/>
        </w:rPr>
        <w:t xml:space="preserve"> </w:t>
      </w:r>
      <w:r w:rsidR="003F743F" w:rsidRPr="001316B0">
        <w:rPr>
          <w:rFonts w:ascii="Arial" w:hAnsi="Arial" w:cs="Arial"/>
          <w:lang w:val="en-GB" w:eastAsia="pt-BR"/>
        </w:rPr>
        <w:t>in</w:t>
      </w:r>
      <w:r w:rsidR="00635C84" w:rsidRPr="001316B0">
        <w:rPr>
          <w:rFonts w:ascii="Arial" w:hAnsi="Arial" w:cs="Arial"/>
          <w:lang w:val="en-GB" w:eastAsia="pt-BR"/>
        </w:rPr>
        <w:t xml:space="preserve"> 1997. </w:t>
      </w:r>
      <w:r w:rsidR="003F743F" w:rsidRPr="001316B0">
        <w:rPr>
          <w:rFonts w:ascii="Arial" w:hAnsi="Arial" w:cs="Arial"/>
          <w:lang w:val="en-GB" w:eastAsia="pt-BR"/>
        </w:rPr>
        <w:t xml:space="preserve">Since then, external dependence on petroleum was reduced due to the high rate of national production growth until the country became self-sufficient in petroleum in </w:t>
      </w:r>
      <w:r w:rsidR="00635C84" w:rsidRPr="001316B0">
        <w:rPr>
          <w:rFonts w:ascii="Arial" w:hAnsi="Arial" w:cs="Arial"/>
          <w:lang w:val="en-GB" w:eastAsia="pt-BR"/>
        </w:rPr>
        <w:t>2005</w:t>
      </w:r>
      <w:r w:rsidR="003F743F" w:rsidRPr="001316B0">
        <w:rPr>
          <w:rFonts w:ascii="Arial" w:hAnsi="Arial" w:cs="Arial"/>
          <w:lang w:val="en-GB" w:eastAsia="pt-BR"/>
        </w:rPr>
        <w:t xml:space="preserve"> with production and consumption </w:t>
      </w:r>
      <w:r w:rsidR="007F6091" w:rsidRPr="001316B0">
        <w:rPr>
          <w:rFonts w:ascii="Arial" w:hAnsi="Arial" w:cs="Arial"/>
          <w:lang w:val="en-GB" w:eastAsia="pt-BR"/>
        </w:rPr>
        <w:t xml:space="preserve">of </w:t>
      </w:r>
      <w:r w:rsidR="00635C84" w:rsidRPr="001316B0">
        <w:rPr>
          <w:rFonts w:ascii="Arial" w:hAnsi="Arial" w:cs="Arial"/>
          <w:lang w:val="en-GB" w:eastAsia="pt-BR"/>
        </w:rPr>
        <w:t xml:space="preserve">87 </w:t>
      </w:r>
      <w:proofErr w:type="spellStart"/>
      <w:r w:rsidR="0047697B" w:rsidRPr="001316B0">
        <w:rPr>
          <w:rFonts w:ascii="Arial" w:hAnsi="Arial" w:cs="Arial"/>
          <w:lang w:val="en-GB" w:eastAsia="pt-BR"/>
        </w:rPr>
        <w:t>Mtoe</w:t>
      </w:r>
      <w:proofErr w:type="spellEnd"/>
      <w:r w:rsidR="00635C84" w:rsidRPr="001316B0">
        <w:rPr>
          <w:rFonts w:ascii="Arial" w:hAnsi="Arial" w:cs="Arial"/>
          <w:lang w:val="en-GB" w:eastAsia="pt-BR"/>
        </w:rPr>
        <w:t>.</w:t>
      </w:r>
      <w:r w:rsidR="000B732C" w:rsidRPr="001316B0">
        <w:rPr>
          <w:rFonts w:ascii="Arial" w:hAnsi="Arial" w:cs="Arial"/>
          <w:lang w:val="en-GB" w:eastAsia="pt-BR"/>
        </w:rPr>
        <w:t xml:space="preserve"> </w:t>
      </w:r>
      <w:r w:rsidR="007F6091" w:rsidRPr="001316B0">
        <w:rPr>
          <w:rFonts w:ascii="Arial" w:hAnsi="Arial" w:cs="Arial"/>
          <w:lang w:val="en-GB" w:eastAsia="pt-BR"/>
        </w:rPr>
        <w:t xml:space="preserve">More recently, discovery of the bulky </w:t>
      </w:r>
      <w:r w:rsidR="00A14E35" w:rsidRPr="001316B0">
        <w:rPr>
          <w:rFonts w:ascii="Arial" w:hAnsi="Arial" w:cs="Arial"/>
          <w:lang w:val="en-GB" w:eastAsia="pt-BR"/>
        </w:rPr>
        <w:t>petroleum</w:t>
      </w:r>
      <w:r w:rsidR="007F6091" w:rsidRPr="001316B0">
        <w:rPr>
          <w:rFonts w:ascii="Arial" w:hAnsi="Arial" w:cs="Arial"/>
          <w:lang w:val="en-GB" w:eastAsia="pt-BR"/>
        </w:rPr>
        <w:t xml:space="preserve"> resources in the pre-salt layer – initially estimated at </w:t>
      </w:r>
      <w:r w:rsidR="005D5CC4" w:rsidRPr="001316B0">
        <w:rPr>
          <w:rFonts w:ascii="Arial" w:hAnsi="Arial" w:cs="Arial"/>
          <w:lang w:val="en-GB" w:eastAsia="pt-BR"/>
        </w:rPr>
        <w:t>a</w:t>
      </w:r>
      <w:r w:rsidR="007F6091" w:rsidRPr="001316B0">
        <w:rPr>
          <w:rFonts w:ascii="Arial" w:hAnsi="Arial" w:cs="Arial"/>
          <w:lang w:val="en-GB" w:eastAsia="pt-BR"/>
        </w:rPr>
        <w:t>round 100 billion barrels, placing the country in 6</w:t>
      </w:r>
      <w:r w:rsidR="00BD5C02" w:rsidRPr="001316B0">
        <w:rPr>
          <w:rFonts w:ascii="Arial" w:hAnsi="Arial" w:cs="Arial"/>
          <w:vertAlign w:val="superscript"/>
          <w:lang w:val="en-GB" w:eastAsia="pt-BR"/>
        </w:rPr>
        <w:t>th</w:t>
      </w:r>
      <w:r w:rsidR="00BD5C02" w:rsidRPr="001316B0">
        <w:rPr>
          <w:rFonts w:ascii="Arial" w:hAnsi="Arial" w:cs="Arial"/>
          <w:lang w:val="en-GB" w:eastAsia="pt-BR"/>
        </w:rPr>
        <w:t xml:space="preserve"> </w:t>
      </w:r>
      <w:r w:rsidR="007F6091" w:rsidRPr="001316B0">
        <w:rPr>
          <w:rFonts w:ascii="Arial" w:hAnsi="Arial" w:cs="Arial"/>
          <w:lang w:val="en-GB" w:eastAsia="pt-BR"/>
        </w:rPr>
        <w:t xml:space="preserve">position of the world rank of reserve holders </w:t>
      </w:r>
      <w:r w:rsidR="00232763" w:rsidRPr="001316B0">
        <w:rPr>
          <w:rFonts w:ascii="Arial" w:hAnsi="Arial" w:cs="Arial"/>
          <w:lang w:val="en-GB" w:eastAsia="pt-BR"/>
        </w:rPr>
        <w:t>–</w:t>
      </w:r>
      <w:r w:rsidR="00F3023F" w:rsidRPr="001316B0">
        <w:rPr>
          <w:rFonts w:ascii="Arial" w:hAnsi="Arial" w:cs="Arial"/>
          <w:lang w:val="en-GB" w:eastAsia="pt-BR"/>
        </w:rPr>
        <w:t xml:space="preserve"> </w:t>
      </w:r>
      <w:r w:rsidR="005D5CC4" w:rsidRPr="001316B0">
        <w:rPr>
          <w:rFonts w:ascii="Arial" w:hAnsi="Arial" w:cs="Arial"/>
          <w:lang w:val="en-GB" w:eastAsia="pt-BR"/>
        </w:rPr>
        <w:t>opens a m</w:t>
      </w:r>
      <w:r w:rsidR="0037161B" w:rsidRPr="001316B0">
        <w:rPr>
          <w:rFonts w:ascii="Arial" w:hAnsi="Arial" w:cs="Arial"/>
          <w:lang w:val="en-GB" w:eastAsia="pt-BR"/>
        </w:rPr>
        <w:t>id</w:t>
      </w:r>
      <w:r w:rsidR="005D5CC4" w:rsidRPr="001316B0">
        <w:rPr>
          <w:rFonts w:ascii="Arial" w:hAnsi="Arial" w:cs="Arial"/>
          <w:lang w:val="en-GB" w:eastAsia="pt-BR"/>
        </w:rPr>
        <w:t>-term perspective that the country will become an important petroleum exporter</w:t>
      </w:r>
      <w:r w:rsidR="000B732C" w:rsidRPr="001316B0">
        <w:rPr>
          <w:rFonts w:ascii="Arial" w:hAnsi="Arial" w:cs="Arial"/>
          <w:lang w:val="en-GB" w:eastAsia="pt-BR"/>
        </w:rPr>
        <w:t>.</w:t>
      </w:r>
      <w:r w:rsidR="00F3023F" w:rsidRPr="001316B0">
        <w:rPr>
          <w:rFonts w:ascii="Arial" w:hAnsi="Arial" w:cs="Arial"/>
          <w:lang w:val="en-GB" w:eastAsia="pt-BR"/>
        </w:rPr>
        <w:t xml:space="preserve"> </w:t>
      </w:r>
      <w:r w:rsidR="00EF16CD" w:rsidRPr="001316B0">
        <w:rPr>
          <w:rFonts w:ascii="Arial" w:hAnsi="Arial" w:cs="Arial"/>
          <w:lang w:val="en-GB" w:eastAsia="pt-BR"/>
        </w:rPr>
        <w:t>Today</w:t>
      </w:r>
      <w:r w:rsidR="00A14E35" w:rsidRPr="001316B0">
        <w:rPr>
          <w:rFonts w:ascii="Arial" w:hAnsi="Arial" w:cs="Arial"/>
          <w:lang w:val="en-GB" w:eastAsia="pt-BR"/>
        </w:rPr>
        <w:t xml:space="preserve">, Brazil </w:t>
      </w:r>
      <w:r w:rsidR="000A472A" w:rsidRPr="001316B0">
        <w:rPr>
          <w:rFonts w:ascii="Arial" w:hAnsi="Arial" w:cs="Arial"/>
          <w:lang w:val="en-GB" w:eastAsia="pt-BR"/>
        </w:rPr>
        <w:t xml:space="preserve">mostly </w:t>
      </w:r>
      <w:r w:rsidR="00A14E35" w:rsidRPr="001316B0">
        <w:rPr>
          <w:rFonts w:ascii="Arial" w:hAnsi="Arial" w:cs="Arial"/>
          <w:lang w:val="en-GB" w:eastAsia="pt-BR"/>
        </w:rPr>
        <w:t>exports</w:t>
      </w:r>
      <w:r w:rsidR="000A472A" w:rsidRPr="001316B0">
        <w:rPr>
          <w:rFonts w:ascii="Arial" w:hAnsi="Arial" w:cs="Arial"/>
          <w:lang w:val="en-GB" w:eastAsia="pt-BR"/>
        </w:rPr>
        <w:t xml:space="preserve"> petroleum and by-products to the United States and China </w:t>
      </w:r>
      <w:r w:rsidR="00F3023F" w:rsidRPr="001316B0">
        <w:rPr>
          <w:rFonts w:ascii="Arial" w:hAnsi="Arial" w:cs="Arial"/>
          <w:lang w:val="en-GB" w:eastAsia="pt-BR"/>
        </w:rPr>
        <w:t xml:space="preserve">(200 </w:t>
      </w:r>
      <w:r w:rsidR="000A472A" w:rsidRPr="001316B0">
        <w:rPr>
          <w:rFonts w:ascii="Arial" w:hAnsi="Arial" w:cs="Arial"/>
          <w:lang w:val="en-GB" w:eastAsia="pt-BR"/>
        </w:rPr>
        <w:t>thousand barrels</w:t>
      </w:r>
      <w:r w:rsidR="00F3023F" w:rsidRPr="001316B0">
        <w:rPr>
          <w:rFonts w:ascii="Arial" w:hAnsi="Arial" w:cs="Arial"/>
          <w:lang w:val="en-GB" w:eastAsia="pt-BR"/>
        </w:rPr>
        <w:t>/</w:t>
      </w:r>
      <w:r w:rsidR="000A472A" w:rsidRPr="001316B0">
        <w:rPr>
          <w:rFonts w:ascii="Arial" w:hAnsi="Arial" w:cs="Arial"/>
          <w:lang w:val="en-GB" w:eastAsia="pt-BR"/>
        </w:rPr>
        <w:t>day</w:t>
      </w:r>
      <w:r w:rsidR="00F3023F" w:rsidRPr="001316B0">
        <w:rPr>
          <w:rFonts w:ascii="Arial" w:hAnsi="Arial" w:cs="Arial"/>
          <w:lang w:val="en-GB" w:eastAsia="pt-BR"/>
        </w:rPr>
        <w:t xml:space="preserve">). </w:t>
      </w:r>
      <w:r w:rsidR="000A472A" w:rsidRPr="001316B0">
        <w:rPr>
          <w:rFonts w:ascii="Arial" w:hAnsi="Arial" w:cs="Arial"/>
          <w:lang w:val="en-GB" w:eastAsia="pt-BR"/>
        </w:rPr>
        <w:t xml:space="preserve">The leap expected in 10 years, however, which is the period for development of pre-salt petroleum production, should take participation of petroleum from the GDP, from the current </w:t>
      </w:r>
      <w:r w:rsidR="00F3023F" w:rsidRPr="001316B0">
        <w:rPr>
          <w:rFonts w:ascii="Arial" w:hAnsi="Arial" w:cs="Arial"/>
          <w:lang w:val="en-GB" w:eastAsia="pt-BR"/>
        </w:rPr>
        <w:t xml:space="preserve">12% </w:t>
      </w:r>
      <w:r w:rsidR="000A472A" w:rsidRPr="001316B0">
        <w:rPr>
          <w:rFonts w:ascii="Arial" w:hAnsi="Arial" w:cs="Arial"/>
          <w:lang w:val="en-GB" w:eastAsia="pt-BR"/>
        </w:rPr>
        <w:t xml:space="preserve">to </w:t>
      </w:r>
      <w:r w:rsidR="00F3023F" w:rsidRPr="001316B0">
        <w:rPr>
          <w:rFonts w:ascii="Arial" w:hAnsi="Arial" w:cs="Arial"/>
          <w:lang w:val="en-GB" w:eastAsia="pt-BR"/>
        </w:rPr>
        <w:t xml:space="preserve">20% </w:t>
      </w:r>
      <w:r w:rsidR="000A472A" w:rsidRPr="001316B0">
        <w:rPr>
          <w:rFonts w:ascii="Arial" w:hAnsi="Arial" w:cs="Arial"/>
          <w:lang w:val="en-GB" w:eastAsia="pt-BR"/>
        </w:rPr>
        <w:t>in</w:t>
      </w:r>
      <w:r w:rsidR="00F3023F" w:rsidRPr="001316B0">
        <w:rPr>
          <w:rFonts w:ascii="Arial" w:hAnsi="Arial" w:cs="Arial"/>
          <w:lang w:val="en-GB" w:eastAsia="pt-BR"/>
        </w:rPr>
        <w:t xml:space="preserve"> 2020. </w:t>
      </w:r>
      <w:r w:rsidR="000A472A" w:rsidRPr="001316B0">
        <w:rPr>
          <w:rFonts w:ascii="Arial" w:hAnsi="Arial" w:cs="Arial"/>
          <w:lang w:val="en-GB" w:eastAsia="pt-BR"/>
        </w:rPr>
        <w:t xml:space="preserve">Consequently, petroleum will </w:t>
      </w:r>
      <w:r w:rsidR="00016AE7" w:rsidRPr="001316B0">
        <w:rPr>
          <w:rFonts w:ascii="Arial" w:hAnsi="Arial" w:cs="Arial"/>
          <w:lang w:val="en-GB" w:eastAsia="pt-BR"/>
        </w:rPr>
        <w:t xml:space="preserve">retake </w:t>
      </w:r>
      <w:r w:rsidR="000A472A" w:rsidRPr="001316B0">
        <w:rPr>
          <w:rFonts w:ascii="Arial" w:hAnsi="Arial" w:cs="Arial"/>
          <w:lang w:val="en-GB" w:eastAsia="pt-BR"/>
        </w:rPr>
        <w:t xml:space="preserve">its </w:t>
      </w:r>
      <w:r w:rsidR="00337C73" w:rsidRPr="001316B0">
        <w:rPr>
          <w:rFonts w:ascii="Arial" w:hAnsi="Arial" w:cs="Arial"/>
          <w:lang w:val="en-GB" w:eastAsia="pt-BR"/>
        </w:rPr>
        <w:t>crucial</w:t>
      </w:r>
      <w:r w:rsidR="000A472A" w:rsidRPr="001316B0">
        <w:rPr>
          <w:rFonts w:ascii="Arial" w:hAnsi="Arial" w:cs="Arial"/>
          <w:lang w:val="en-GB" w:eastAsia="pt-BR"/>
        </w:rPr>
        <w:t xml:space="preserve"> role in the </w:t>
      </w:r>
      <w:r w:rsidR="00225629" w:rsidRPr="001316B0">
        <w:rPr>
          <w:rFonts w:ascii="Arial" w:hAnsi="Arial" w:cs="Arial"/>
          <w:lang w:val="en-GB" w:eastAsia="pt-BR"/>
        </w:rPr>
        <w:t>macro economy</w:t>
      </w:r>
      <w:r w:rsidR="00337C73" w:rsidRPr="001316B0">
        <w:rPr>
          <w:rFonts w:ascii="Arial" w:hAnsi="Arial" w:cs="Arial"/>
          <w:lang w:val="en-GB" w:eastAsia="pt-BR"/>
        </w:rPr>
        <w:t xml:space="preserve"> and, this time, the </w:t>
      </w:r>
      <w:r w:rsidR="00016AE7" w:rsidRPr="001316B0">
        <w:rPr>
          <w:rFonts w:ascii="Arial" w:hAnsi="Arial" w:cs="Arial"/>
          <w:lang w:val="en-GB" w:eastAsia="pt-BR"/>
        </w:rPr>
        <w:t>wealth can be used to pay off the huge social debt accumulated in the income-concentrating development model.</w:t>
      </w:r>
      <w:r w:rsidR="00337C73" w:rsidRPr="001316B0">
        <w:rPr>
          <w:rFonts w:ascii="Arial" w:hAnsi="Arial" w:cs="Arial"/>
          <w:lang w:val="en-GB" w:eastAsia="pt-BR"/>
        </w:rPr>
        <w:t xml:space="preserve"> There is also a challenge to defeat the “Dutch disease” – risk of losing competitiveness in the dynamic sectors of the transformation industry </w:t>
      </w:r>
      <w:r w:rsidR="00122AB8" w:rsidRPr="001316B0">
        <w:rPr>
          <w:rFonts w:ascii="Arial" w:hAnsi="Arial" w:cs="Arial"/>
          <w:color w:val="0000FF"/>
          <w:lang w:val="en-GB" w:eastAsia="pt-BR"/>
        </w:rPr>
        <w:t>–</w:t>
      </w:r>
      <w:r w:rsidR="000135C3" w:rsidRPr="001316B0">
        <w:rPr>
          <w:rFonts w:ascii="Arial" w:hAnsi="Arial" w:cs="Arial"/>
          <w:lang w:val="en-GB" w:eastAsia="pt-BR"/>
        </w:rPr>
        <w:t xml:space="preserve"> </w:t>
      </w:r>
      <w:r w:rsidR="00337C73" w:rsidRPr="001316B0">
        <w:rPr>
          <w:rFonts w:ascii="Arial" w:hAnsi="Arial" w:cs="Arial"/>
          <w:lang w:val="en-GB" w:eastAsia="pt-BR"/>
        </w:rPr>
        <w:t>and avoiding excessive dependence on fossil resources that are finite and highly pollutant.</w:t>
      </w:r>
    </w:p>
    <w:p w14:paraId="362D7D9D" w14:textId="77777777" w:rsidR="000B732C" w:rsidRPr="001316B0" w:rsidRDefault="000B732C"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p>
    <w:p w14:paraId="0A38B3ED" w14:textId="77777777" w:rsidR="00221F36" w:rsidRPr="001316B0" w:rsidRDefault="00221F36"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i/>
          <w:lang w:val="en-GB" w:eastAsia="pt-BR"/>
        </w:rPr>
      </w:pPr>
    </w:p>
    <w:p w14:paraId="3C5B3967" w14:textId="77777777" w:rsidR="00221F36" w:rsidRPr="001316B0" w:rsidRDefault="00221F36"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i/>
          <w:lang w:val="en-GB" w:eastAsia="pt-BR"/>
        </w:rPr>
      </w:pPr>
    </w:p>
    <w:p w14:paraId="12B60800" w14:textId="77777777" w:rsidR="007406D4" w:rsidRPr="001316B0" w:rsidRDefault="007406D4"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i/>
          <w:lang w:val="en-GB" w:eastAsia="pt-BR"/>
        </w:rPr>
      </w:pPr>
    </w:p>
    <w:p w14:paraId="6C5DAAD5" w14:textId="77777777" w:rsidR="000B732C" w:rsidRPr="001316B0" w:rsidRDefault="007406D4"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i/>
          <w:lang w:val="en-GB" w:eastAsia="pt-BR"/>
        </w:rPr>
      </w:pPr>
      <w:r w:rsidRPr="001316B0">
        <w:rPr>
          <w:rFonts w:ascii="Arial" w:hAnsi="Arial" w:cs="Arial"/>
          <w:b/>
          <w:i/>
          <w:lang w:val="en-GB" w:eastAsia="pt-BR"/>
        </w:rPr>
        <w:lastRenderedPageBreak/>
        <w:t xml:space="preserve">The </w:t>
      </w:r>
      <w:r w:rsidR="00777286" w:rsidRPr="001316B0">
        <w:rPr>
          <w:rFonts w:ascii="Arial" w:hAnsi="Arial" w:cs="Arial"/>
          <w:b/>
          <w:i/>
          <w:lang w:val="en-GB" w:eastAsia="pt-BR"/>
        </w:rPr>
        <w:t>Potential of Alternative Energy Sources in Brazil</w:t>
      </w:r>
    </w:p>
    <w:p w14:paraId="606FAE7B" w14:textId="77777777" w:rsidR="00CF682B" w:rsidRPr="001316B0" w:rsidRDefault="00CF682B"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p>
    <w:p w14:paraId="37857D53" w14:textId="77777777" w:rsidR="00CF682B" w:rsidRPr="001316B0" w:rsidRDefault="00CF682B"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r w:rsidRPr="001316B0">
        <w:rPr>
          <w:rFonts w:ascii="Arial" w:hAnsi="Arial" w:cs="Arial"/>
          <w:b/>
          <w:lang w:val="en-GB" w:eastAsia="pt-BR"/>
        </w:rPr>
        <w:t>Biomass</w:t>
      </w:r>
    </w:p>
    <w:p w14:paraId="1725AE6C" w14:textId="77777777" w:rsidR="00CF682B" w:rsidRPr="001316B0" w:rsidRDefault="00A510A2"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 xml:space="preserve">Brazil </w:t>
      </w:r>
      <w:r w:rsidR="003455BA" w:rsidRPr="001316B0">
        <w:rPr>
          <w:rFonts w:ascii="Arial" w:hAnsi="Arial" w:cs="Arial"/>
          <w:lang w:val="en-GB" w:eastAsia="pt-BR"/>
        </w:rPr>
        <w:t>has an outstanding potential for energy from other resources of biomass.</w:t>
      </w:r>
      <w:r w:rsidR="000B732C" w:rsidRPr="001316B0">
        <w:rPr>
          <w:rFonts w:ascii="Arial" w:hAnsi="Arial" w:cs="Arial"/>
          <w:lang w:val="en-GB" w:eastAsia="pt-BR"/>
        </w:rPr>
        <w:t xml:space="preserve"> </w:t>
      </w:r>
      <w:r w:rsidR="003455BA" w:rsidRPr="001316B0">
        <w:rPr>
          <w:rFonts w:ascii="Arial" w:hAnsi="Arial" w:cs="Arial"/>
          <w:lang w:val="en-GB" w:eastAsia="pt-BR"/>
        </w:rPr>
        <w:t xml:space="preserve">Forests planted with rapidly growing species </w:t>
      </w:r>
      <w:r w:rsidR="00CF682B" w:rsidRPr="001316B0">
        <w:rPr>
          <w:rFonts w:ascii="Arial" w:hAnsi="Arial" w:cs="Arial"/>
          <w:lang w:val="en-GB" w:eastAsia="pt-BR"/>
        </w:rPr>
        <w:t>(</w:t>
      </w:r>
      <w:r w:rsidR="003455BA" w:rsidRPr="001316B0">
        <w:rPr>
          <w:rFonts w:ascii="Arial" w:hAnsi="Arial" w:cs="Arial"/>
          <w:lang w:val="en-GB" w:eastAsia="pt-BR"/>
        </w:rPr>
        <w:t>eucalyptus and pine</w:t>
      </w:r>
      <w:r w:rsidR="00CF682B" w:rsidRPr="001316B0">
        <w:rPr>
          <w:rFonts w:ascii="Arial" w:hAnsi="Arial" w:cs="Arial"/>
          <w:color w:val="000000" w:themeColor="text1"/>
          <w:lang w:val="en-GB" w:eastAsia="pt-BR"/>
        </w:rPr>
        <w:t>)</w:t>
      </w:r>
      <w:r w:rsidR="00CF682B" w:rsidRPr="001316B0">
        <w:rPr>
          <w:rFonts w:ascii="Arial" w:hAnsi="Arial" w:cs="Arial"/>
          <w:lang w:val="en-GB" w:eastAsia="pt-BR"/>
        </w:rPr>
        <w:t xml:space="preserve"> </w:t>
      </w:r>
      <w:r w:rsidR="003455BA" w:rsidRPr="001316B0">
        <w:rPr>
          <w:rFonts w:ascii="Arial" w:hAnsi="Arial" w:cs="Arial"/>
          <w:lang w:val="en-GB" w:eastAsia="pt-BR"/>
        </w:rPr>
        <w:t xml:space="preserve">for the production of vegetable coal already provide an important contribution to the national energy </w:t>
      </w:r>
      <w:r w:rsidR="00CD30A4" w:rsidRPr="001316B0">
        <w:rPr>
          <w:rFonts w:ascii="Arial" w:hAnsi="Arial" w:cs="Arial"/>
          <w:lang w:val="en-GB" w:eastAsia="pt-BR"/>
        </w:rPr>
        <w:t>matrix, and the potential for expansion is immense.</w:t>
      </w:r>
      <w:r w:rsidR="00CF682B" w:rsidRPr="001316B0">
        <w:rPr>
          <w:rFonts w:ascii="Arial" w:hAnsi="Arial" w:cs="Arial"/>
          <w:lang w:val="en-GB" w:eastAsia="pt-BR"/>
        </w:rPr>
        <w:t xml:space="preserve"> </w:t>
      </w:r>
    </w:p>
    <w:p w14:paraId="1BA133D6" w14:textId="77777777" w:rsidR="00CF682B" w:rsidRPr="001316B0" w:rsidRDefault="004A6119"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Production and automotive use of ethanol from sugar-cane</w:t>
      </w:r>
      <w:r w:rsidR="00F2494A" w:rsidRPr="001316B0">
        <w:rPr>
          <w:rFonts w:ascii="Arial" w:hAnsi="Arial" w:cs="Arial"/>
          <w:lang w:val="en-GB" w:eastAsia="pt-BR"/>
        </w:rPr>
        <w:t>,</w:t>
      </w:r>
      <w:r w:rsidR="001F3747" w:rsidRPr="001316B0">
        <w:rPr>
          <w:rFonts w:ascii="Arial" w:hAnsi="Arial" w:cs="Arial"/>
          <w:lang w:val="en-GB" w:eastAsia="pt-BR"/>
        </w:rPr>
        <w:t xml:space="preserve"> a commercial reality in the country since </w:t>
      </w:r>
      <w:r w:rsidR="002D602F" w:rsidRPr="001316B0">
        <w:rPr>
          <w:rFonts w:ascii="Arial" w:hAnsi="Arial" w:cs="Arial"/>
          <w:lang w:val="en-GB" w:eastAsia="pt-BR"/>
        </w:rPr>
        <w:t>1975,</w:t>
      </w:r>
      <w:r w:rsidR="000B732C" w:rsidRPr="001316B0">
        <w:rPr>
          <w:rFonts w:ascii="Arial" w:hAnsi="Arial" w:cs="Arial"/>
          <w:lang w:val="en-GB" w:eastAsia="pt-BR"/>
        </w:rPr>
        <w:t xml:space="preserve"> </w:t>
      </w:r>
      <w:r w:rsidR="001F3747" w:rsidRPr="001316B0">
        <w:rPr>
          <w:rFonts w:ascii="Arial" w:hAnsi="Arial" w:cs="Arial"/>
          <w:lang w:val="en-GB" w:eastAsia="pt-BR"/>
        </w:rPr>
        <w:t>quickly expanded after 2003 with the entrance of flex-fuel cars in the market</w:t>
      </w:r>
      <w:r w:rsidR="00F2494A" w:rsidRPr="001316B0">
        <w:rPr>
          <w:rFonts w:ascii="Arial" w:hAnsi="Arial" w:cs="Arial"/>
          <w:lang w:val="en-GB" w:eastAsia="pt-BR"/>
        </w:rPr>
        <w:t xml:space="preserve">. </w:t>
      </w:r>
      <w:r w:rsidR="005670B2" w:rsidRPr="001316B0">
        <w:rPr>
          <w:rFonts w:ascii="Arial" w:hAnsi="Arial" w:cs="Arial"/>
          <w:lang w:val="en-GB" w:eastAsia="pt-BR"/>
        </w:rPr>
        <w:t xml:space="preserve">In 2008, there was an increase in relation to 2007, when the supply level reached 27 billion </w:t>
      </w:r>
      <w:r w:rsidR="00DB7104" w:rsidRPr="001316B0">
        <w:rPr>
          <w:rFonts w:ascii="Arial" w:hAnsi="Arial" w:cs="Arial"/>
          <w:lang w:val="en-GB" w:eastAsia="pt-BR"/>
        </w:rPr>
        <w:t>litres</w:t>
      </w:r>
      <w:r w:rsidR="005670B2" w:rsidRPr="001316B0">
        <w:rPr>
          <w:rFonts w:ascii="Arial" w:hAnsi="Arial" w:cs="Arial"/>
          <w:lang w:val="en-GB" w:eastAsia="pt-BR"/>
        </w:rPr>
        <w:t xml:space="preserve"> of ethanol/year</w:t>
      </w:r>
      <w:r w:rsidR="000F6AD8" w:rsidRPr="001316B0">
        <w:rPr>
          <w:rFonts w:ascii="Arial" w:hAnsi="Arial" w:cs="Arial"/>
          <w:color w:val="000000"/>
          <w:lang w:val="en-GB"/>
        </w:rPr>
        <w:t>.</w:t>
      </w:r>
      <w:r w:rsidR="000F6AD8" w:rsidRPr="001316B0">
        <w:rPr>
          <w:rFonts w:ascii="Arial" w:hAnsi="Arial" w:cs="Arial"/>
          <w:lang w:val="en-GB" w:eastAsia="pt-BR"/>
        </w:rPr>
        <w:t xml:space="preserve"> </w:t>
      </w:r>
      <w:r w:rsidR="00717A4E" w:rsidRPr="001316B0">
        <w:rPr>
          <w:rFonts w:ascii="Arial" w:hAnsi="Arial" w:cs="Arial"/>
          <w:lang w:val="en-GB" w:eastAsia="pt-BR"/>
        </w:rPr>
        <w:t>Brazil has also exported a growing portion of its production (10%). More recently, the internationalization of the alcohol and sugar industry received important foreign investments in the acquisition of plants</w:t>
      </w:r>
      <w:r w:rsidR="00303EBB" w:rsidRPr="001316B0">
        <w:rPr>
          <w:rFonts w:ascii="Arial" w:hAnsi="Arial" w:cs="Arial"/>
          <w:lang w:val="en-GB" w:eastAsia="pt-BR"/>
        </w:rPr>
        <w:t xml:space="preserve"> (</w:t>
      </w:r>
      <w:proofErr w:type="spellStart"/>
      <w:r w:rsidR="00303EBB" w:rsidRPr="001316B0">
        <w:rPr>
          <w:rFonts w:ascii="Arial" w:hAnsi="Arial" w:cs="Arial"/>
          <w:lang w:val="en-GB" w:eastAsia="pt-BR"/>
        </w:rPr>
        <w:t>Cosan</w:t>
      </w:r>
      <w:proofErr w:type="spellEnd"/>
      <w:r w:rsidR="00303EBB" w:rsidRPr="001316B0">
        <w:rPr>
          <w:rFonts w:ascii="Arial" w:hAnsi="Arial" w:cs="Arial"/>
          <w:lang w:val="en-GB" w:eastAsia="pt-BR"/>
        </w:rPr>
        <w:t xml:space="preserve"> / Shell,</w:t>
      </w:r>
      <w:r w:rsidR="00A52DAD" w:rsidRPr="001316B0">
        <w:rPr>
          <w:rFonts w:ascii="Arial" w:hAnsi="Arial" w:cs="Arial"/>
          <w:lang w:val="en-GB" w:eastAsia="pt-BR"/>
        </w:rPr>
        <w:t xml:space="preserve"> </w:t>
      </w:r>
      <w:proofErr w:type="spellStart"/>
      <w:r w:rsidR="00A52DAD" w:rsidRPr="001316B0">
        <w:rPr>
          <w:rFonts w:ascii="Arial" w:hAnsi="Arial" w:cs="Arial"/>
          <w:lang w:val="en-GB" w:eastAsia="pt-BR"/>
        </w:rPr>
        <w:t>Biaggi</w:t>
      </w:r>
      <w:proofErr w:type="spellEnd"/>
      <w:r w:rsidR="00A52DAD" w:rsidRPr="001316B0">
        <w:rPr>
          <w:rFonts w:ascii="Arial" w:hAnsi="Arial" w:cs="Arial"/>
          <w:lang w:val="en-GB" w:eastAsia="pt-BR"/>
        </w:rPr>
        <w:t xml:space="preserve"> / Bunge, Santa Elisa / BP</w:t>
      </w:r>
      <w:r w:rsidR="00EB07D9" w:rsidRPr="001316B0">
        <w:rPr>
          <w:rFonts w:ascii="Arial" w:hAnsi="Arial" w:cs="Arial"/>
          <w:lang w:val="en-GB" w:eastAsia="pt-BR"/>
        </w:rPr>
        <w:t xml:space="preserve"> merger</w:t>
      </w:r>
      <w:r w:rsidR="001316B0" w:rsidRPr="001316B0">
        <w:rPr>
          <w:rFonts w:ascii="Arial" w:hAnsi="Arial" w:cs="Arial"/>
          <w:lang w:val="en-GB" w:eastAsia="pt-BR"/>
        </w:rPr>
        <w:t>s</w:t>
      </w:r>
      <w:r w:rsidR="00A52DAD" w:rsidRPr="001316B0">
        <w:rPr>
          <w:rFonts w:ascii="Arial" w:hAnsi="Arial" w:cs="Arial"/>
          <w:lang w:val="en-GB" w:eastAsia="pt-BR"/>
        </w:rPr>
        <w:t>,</w:t>
      </w:r>
      <w:r w:rsidR="00717A4E" w:rsidRPr="001316B0">
        <w:rPr>
          <w:rFonts w:ascii="Arial" w:hAnsi="Arial" w:cs="Arial"/>
          <w:lang w:val="en-GB" w:eastAsia="pt-BR"/>
        </w:rPr>
        <w:t xml:space="preserve"> Japanese capital in association with </w:t>
      </w:r>
      <w:r w:rsidR="001804B8" w:rsidRPr="001316B0">
        <w:rPr>
          <w:rFonts w:ascii="Arial" w:hAnsi="Arial" w:cs="Arial"/>
          <w:lang w:val="en-GB" w:eastAsia="pt-BR"/>
        </w:rPr>
        <w:t>Petrobras)</w:t>
      </w:r>
      <w:r w:rsidR="00280D3D" w:rsidRPr="001316B0">
        <w:rPr>
          <w:rFonts w:ascii="Arial" w:hAnsi="Arial" w:cs="Arial"/>
          <w:lang w:val="en-GB" w:eastAsia="pt-BR"/>
        </w:rPr>
        <w:t xml:space="preserve">, </w:t>
      </w:r>
      <w:r w:rsidR="00E40285" w:rsidRPr="001316B0">
        <w:rPr>
          <w:rFonts w:ascii="Arial" w:hAnsi="Arial" w:cs="Arial"/>
          <w:lang w:val="en-GB" w:eastAsia="pt-BR"/>
        </w:rPr>
        <w:t xml:space="preserve">providing </w:t>
      </w:r>
      <w:r w:rsidR="00280D3D" w:rsidRPr="001316B0">
        <w:rPr>
          <w:rFonts w:ascii="Arial" w:hAnsi="Arial" w:cs="Arial"/>
          <w:lang w:val="en-GB" w:eastAsia="pt-BR"/>
        </w:rPr>
        <w:t xml:space="preserve">the perspective of an even </w:t>
      </w:r>
      <w:r w:rsidR="00361046" w:rsidRPr="001316B0">
        <w:rPr>
          <w:rFonts w:ascii="Arial" w:hAnsi="Arial" w:cs="Arial"/>
          <w:lang w:val="en-GB" w:eastAsia="pt-BR"/>
        </w:rPr>
        <w:t xml:space="preserve">greater </w:t>
      </w:r>
      <w:r w:rsidR="00280D3D" w:rsidRPr="001316B0">
        <w:rPr>
          <w:rFonts w:ascii="Arial" w:hAnsi="Arial" w:cs="Arial"/>
          <w:lang w:val="en-GB" w:eastAsia="pt-BR"/>
        </w:rPr>
        <w:t>expansion of ethanol production and export.</w:t>
      </w:r>
      <w:r w:rsidR="00A52DAD" w:rsidRPr="001316B0">
        <w:rPr>
          <w:rFonts w:ascii="Arial" w:hAnsi="Arial" w:cs="Arial"/>
          <w:lang w:val="en-GB" w:eastAsia="pt-BR"/>
        </w:rPr>
        <w:t xml:space="preserve"> </w:t>
      </w:r>
      <w:r w:rsidR="00F2494A" w:rsidRPr="001316B0">
        <w:rPr>
          <w:rFonts w:ascii="Arial" w:hAnsi="Arial" w:cs="Arial"/>
          <w:lang w:val="en-GB" w:eastAsia="pt-BR"/>
        </w:rPr>
        <w:t xml:space="preserve"> </w:t>
      </w:r>
    </w:p>
    <w:p w14:paraId="124E60FA" w14:textId="77777777" w:rsidR="000B732C" w:rsidRPr="001316B0" w:rsidRDefault="00CB6642"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 xml:space="preserve">The National </w:t>
      </w:r>
      <w:r w:rsidR="000B732C" w:rsidRPr="001316B0">
        <w:rPr>
          <w:rFonts w:ascii="Arial" w:hAnsi="Arial" w:cs="Arial"/>
          <w:lang w:val="en-GB" w:eastAsia="pt-BR"/>
        </w:rPr>
        <w:t>Biodiesel</w:t>
      </w:r>
      <w:r w:rsidRPr="001316B0">
        <w:rPr>
          <w:rFonts w:ascii="Arial" w:hAnsi="Arial" w:cs="Arial"/>
          <w:lang w:val="en-GB" w:eastAsia="pt-BR"/>
        </w:rPr>
        <w:t xml:space="preserve"> Programme </w:t>
      </w:r>
      <w:r w:rsidR="000635E0" w:rsidRPr="001316B0">
        <w:rPr>
          <w:rFonts w:ascii="Arial" w:hAnsi="Arial" w:cs="Arial"/>
          <w:lang w:val="en-GB" w:eastAsia="pt-BR"/>
        </w:rPr>
        <w:t xml:space="preserve">allows the addition of </w:t>
      </w:r>
      <w:r w:rsidR="000B732C" w:rsidRPr="001316B0">
        <w:rPr>
          <w:rFonts w:ascii="Arial" w:hAnsi="Arial" w:cs="Arial"/>
          <w:lang w:val="en-GB" w:eastAsia="pt-BR"/>
        </w:rPr>
        <w:t xml:space="preserve">5% biodiesel </w:t>
      </w:r>
      <w:r w:rsidR="000635E0" w:rsidRPr="001316B0">
        <w:rPr>
          <w:rFonts w:ascii="Arial" w:hAnsi="Arial" w:cs="Arial"/>
          <w:lang w:val="en-GB" w:eastAsia="pt-BR"/>
        </w:rPr>
        <w:t xml:space="preserve">to all diesel oil consumed in the country due to the expressive increase of </w:t>
      </w:r>
      <w:r w:rsidR="00D57F1F" w:rsidRPr="001316B0">
        <w:rPr>
          <w:rFonts w:ascii="Arial" w:hAnsi="Arial" w:cs="Arial"/>
          <w:color w:val="000000"/>
          <w:lang w:val="en-GB"/>
        </w:rPr>
        <w:t>biodiesel</w:t>
      </w:r>
      <w:r w:rsidR="000635E0" w:rsidRPr="001316B0">
        <w:rPr>
          <w:rFonts w:ascii="Arial" w:hAnsi="Arial" w:cs="Arial"/>
          <w:color w:val="000000"/>
          <w:lang w:val="en-GB"/>
        </w:rPr>
        <w:t xml:space="preserve"> production. Biodiesel is mainly produced from soy oil and production rose from 0.</w:t>
      </w:r>
      <w:r w:rsidR="00D57F1F" w:rsidRPr="001316B0">
        <w:rPr>
          <w:rFonts w:ascii="Arial" w:hAnsi="Arial" w:cs="Arial"/>
          <w:color w:val="000000"/>
          <w:lang w:val="en-GB"/>
        </w:rPr>
        <w:t xml:space="preserve">4 </w:t>
      </w:r>
      <w:r w:rsidR="000635E0" w:rsidRPr="001316B0">
        <w:rPr>
          <w:rFonts w:ascii="Arial" w:hAnsi="Arial" w:cs="Arial"/>
          <w:color w:val="000000"/>
          <w:lang w:val="en-GB"/>
        </w:rPr>
        <w:t>billion lit</w:t>
      </w:r>
      <w:r w:rsidR="001316B0" w:rsidRPr="001316B0">
        <w:rPr>
          <w:rFonts w:ascii="Arial" w:hAnsi="Arial" w:cs="Arial"/>
          <w:color w:val="000000"/>
          <w:lang w:val="en-GB"/>
        </w:rPr>
        <w:t>res</w:t>
      </w:r>
      <w:r w:rsidR="000635E0" w:rsidRPr="001316B0">
        <w:rPr>
          <w:rFonts w:ascii="Arial" w:hAnsi="Arial" w:cs="Arial"/>
          <w:color w:val="000000"/>
          <w:lang w:val="en-GB"/>
        </w:rPr>
        <w:t xml:space="preserve"> in </w:t>
      </w:r>
      <w:r w:rsidR="00D57F1F" w:rsidRPr="001316B0">
        <w:rPr>
          <w:rFonts w:ascii="Arial" w:hAnsi="Arial" w:cs="Arial"/>
          <w:color w:val="000000"/>
          <w:lang w:val="en-GB"/>
        </w:rPr>
        <w:t>2007</w:t>
      </w:r>
      <w:r w:rsidR="00303EBB" w:rsidRPr="001316B0">
        <w:rPr>
          <w:rFonts w:ascii="Arial" w:hAnsi="Arial" w:cs="Arial"/>
          <w:color w:val="000000"/>
          <w:lang w:val="en-GB"/>
        </w:rPr>
        <w:t xml:space="preserve">, </w:t>
      </w:r>
      <w:r w:rsidR="000635E0" w:rsidRPr="001316B0">
        <w:rPr>
          <w:rFonts w:ascii="Arial" w:hAnsi="Arial" w:cs="Arial"/>
          <w:color w:val="000000"/>
          <w:lang w:val="en-GB"/>
        </w:rPr>
        <w:t>to 1.2 billion lit</w:t>
      </w:r>
      <w:r w:rsidR="001316B0" w:rsidRPr="001316B0">
        <w:rPr>
          <w:rFonts w:ascii="Arial" w:hAnsi="Arial" w:cs="Arial"/>
          <w:color w:val="000000"/>
          <w:lang w:val="en-GB"/>
        </w:rPr>
        <w:t>res</w:t>
      </w:r>
      <w:r w:rsidR="000635E0" w:rsidRPr="001316B0">
        <w:rPr>
          <w:rFonts w:ascii="Arial" w:hAnsi="Arial" w:cs="Arial"/>
          <w:color w:val="000000"/>
          <w:lang w:val="en-GB"/>
        </w:rPr>
        <w:t xml:space="preserve"> in </w:t>
      </w:r>
      <w:r w:rsidR="00303EBB" w:rsidRPr="001316B0">
        <w:rPr>
          <w:rFonts w:ascii="Arial" w:hAnsi="Arial" w:cs="Arial"/>
          <w:color w:val="000000"/>
          <w:lang w:val="en-GB"/>
        </w:rPr>
        <w:t xml:space="preserve">2008 </w:t>
      </w:r>
      <w:r w:rsidR="000635E0" w:rsidRPr="001316B0">
        <w:rPr>
          <w:rFonts w:ascii="Arial" w:hAnsi="Arial" w:cs="Arial"/>
          <w:color w:val="000000"/>
          <w:lang w:val="en-GB"/>
        </w:rPr>
        <w:t xml:space="preserve">and more than 1.5 billion </w:t>
      </w:r>
      <w:r w:rsidR="001316B0" w:rsidRPr="001316B0">
        <w:rPr>
          <w:rFonts w:ascii="Arial" w:hAnsi="Arial" w:cs="Arial"/>
          <w:color w:val="000000"/>
          <w:lang w:val="en-GB"/>
        </w:rPr>
        <w:t>litres</w:t>
      </w:r>
      <w:r w:rsidR="000635E0" w:rsidRPr="001316B0">
        <w:rPr>
          <w:rFonts w:ascii="Arial" w:hAnsi="Arial" w:cs="Arial"/>
          <w:color w:val="000000"/>
          <w:lang w:val="en-GB"/>
        </w:rPr>
        <w:t xml:space="preserve"> in </w:t>
      </w:r>
      <w:r w:rsidR="000F6AD8" w:rsidRPr="001316B0">
        <w:rPr>
          <w:rFonts w:ascii="Arial" w:hAnsi="Arial" w:cs="Arial"/>
          <w:color w:val="000000"/>
          <w:lang w:val="en-GB"/>
        </w:rPr>
        <w:t>2009</w:t>
      </w:r>
      <w:r w:rsidR="001C1B5A" w:rsidRPr="001316B0">
        <w:rPr>
          <w:rFonts w:ascii="Arial" w:hAnsi="Arial" w:cs="Arial"/>
          <w:color w:val="000000"/>
          <w:lang w:val="en-GB"/>
        </w:rPr>
        <w:t xml:space="preserve">. </w:t>
      </w:r>
      <w:r w:rsidR="00820428" w:rsidRPr="001316B0">
        <w:rPr>
          <w:rFonts w:ascii="Arial" w:hAnsi="Arial" w:cs="Arial"/>
          <w:color w:val="000000"/>
          <w:lang w:val="en-GB"/>
        </w:rPr>
        <w:t xml:space="preserve">Preliminary data also shows a significant increase in 2010. The main challenge is reaching the objectives of social inclusion by allowing the participation of family farmers in the </w:t>
      </w:r>
      <w:r w:rsidR="000B732C" w:rsidRPr="001316B0">
        <w:rPr>
          <w:rFonts w:ascii="Arial" w:hAnsi="Arial" w:cs="Arial"/>
          <w:lang w:val="en-GB" w:eastAsia="pt-BR"/>
        </w:rPr>
        <w:t>biodiesel</w:t>
      </w:r>
      <w:r w:rsidR="00820428" w:rsidRPr="001316B0">
        <w:rPr>
          <w:rFonts w:ascii="Arial" w:hAnsi="Arial" w:cs="Arial"/>
          <w:lang w:val="en-GB" w:eastAsia="pt-BR"/>
        </w:rPr>
        <w:t xml:space="preserve"> production chain</w:t>
      </w:r>
      <w:r w:rsidR="000B732C" w:rsidRPr="001316B0">
        <w:rPr>
          <w:rFonts w:ascii="Arial" w:hAnsi="Arial" w:cs="Arial"/>
          <w:lang w:val="en-GB" w:eastAsia="pt-BR"/>
        </w:rPr>
        <w:t xml:space="preserve">. </w:t>
      </w:r>
      <w:r w:rsidR="00131E49" w:rsidRPr="001316B0">
        <w:rPr>
          <w:rFonts w:ascii="Arial" w:hAnsi="Arial" w:cs="Arial"/>
          <w:lang w:val="en-GB" w:eastAsia="pt-BR"/>
        </w:rPr>
        <w:t xml:space="preserve">Utilization of regionally available vegetable oils (palm oil in the North, castor oil </w:t>
      </w:r>
      <w:r w:rsidR="0037282E">
        <w:rPr>
          <w:rFonts w:ascii="Arial" w:hAnsi="Arial" w:cs="Arial"/>
          <w:lang w:val="en-GB" w:eastAsia="pt-BR"/>
        </w:rPr>
        <w:t>in the North-E</w:t>
      </w:r>
      <w:r w:rsidR="00131E49" w:rsidRPr="001316B0">
        <w:rPr>
          <w:rFonts w:ascii="Arial" w:hAnsi="Arial" w:cs="Arial"/>
          <w:lang w:val="en-GB" w:eastAsia="pt-BR"/>
        </w:rPr>
        <w:t>ast</w:t>
      </w:r>
      <w:r w:rsidR="000B732C" w:rsidRPr="001316B0">
        <w:rPr>
          <w:rFonts w:ascii="Arial" w:hAnsi="Arial" w:cs="Arial"/>
          <w:lang w:val="en-GB" w:eastAsia="pt-BR"/>
        </w:rPr>
        <w:t>)</w:t>
      </w:r>
      <w:r w:rsidR="00F2494A" w:rsidRPr="001316B0">
        <w:rPr>
          <w:rFonts w:ascii="Arial" w:hAnsi="Arial" w:cs="Arial"/>
          <w:lang w:val="en-GB" w:eastAsia="pt-BR"/>
        </w:rPr>
        <w:t xml:space="preserve"> </w:t>
      </w:r>
      <w:r w:rsidR="002A0023" w:rsidRPr="001316B0">
        <w:rPr>
          <w:rFonts w:ascii="Arial" w:hAnsi="Arial" w:cs="Arial"/>
          <w:lang w:val="en-GB" w:eastAsia="pt-BR"/>
        </w:rPr>
        <w:t>is another important challenge, as</w:t>
      </w:r>
      <w:r w:rsidR="00D274EB" w:rsidRPr="001316B0">
        <w:rPr>
          <w:rFonts w:ascii="Arial" w:hAnsi="Arial" w:cs="Arial"/>
          <w:lang w:val="en-GB" w:eastAsia="pt-BR"/>
        </w:rPr>
        <w:t xml:space="preserve"> currently</w:t>
      </w:r>
      <w:r w:rsidR="002A0023" w:rsidRPr="001316B0">
        <w:rPr>
          <w:rFonts w:ascii="Arial" w:hAnsi="Arial" w:cs="Arial"/>
          <w:lang w:val="en-GB" w:eastAsia="pt-BR"/>
        </w:rPr>
        <w:t xml:space="preserve"> the predominant raw material is soy.</w:t>
      </w:r>
    </w:p>
    <w:p w14:paraId="63EB0E31" w14:textId="77777777" w:rsidR="00CF682B" w:rsidRPr="001316B0" w:rsidRDefault="00D274EB"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 xml:space="preserve">Special emphasis should be given to the possibility of optimizing usage of sugarcane </w:t>
      </w:r>
      <w:r w:rsidR="00C43E57" w:rsidRPr="001316B0">
        <w:rPr>
          <w:rFonts w:ascii="Arial" w:hAnsi="Arial" w:cs="Arial"/>
          <w:lang w:val="en-GB" w:eastAsia="pt-BR"/>
        </w:rPr>
        <w:t>bagasse</w:t>
      </w:r>
      <w:r w:rsidRPr="001316B0">
        <w:rPr>
          <w:rFonts w:ascii="Arial" w:hAnsi="Arial" w:cs="Arial"/>
          <w:lang w:val="en-GB" w:eastAsia="pt-BR"/>
        </w:rPr>
        <w:t xml:space="preserve">, which is the by-product </w:t>
      </w:r>
      <w:r w:rsidR="00862683">
        <w:rPr>
          <w:rFonts w:ascii="Arial" w:hAnsi="Arial" w:cs="Arial"/>
          <w:lang w:val="en-GB" w:eastAsia="pt-BR"/>
        </w:rPr>
        <w:t xml:space="preserve">of sugarcane used in </w:t>
      </w:r>
      <w:r w:rsidRPr="001316B0">
        <w:rPr>
          <w:rFonts w:ascii="Arial" w:hAnsi="Arial" w:cs="Arial"/>
          <w:lang w:val="en-GB" w:eastAsia="pt-BR"/>
        </w:rPr>
        <w:t>sugar and alcohol plants to co-generate electrical energy injected in the network</w:t>
      </w:r>
      <w:r w:rsidR="00C43E57" w:rsidRPr="001316B0">
        <w:rPr>
          <w:rFonts w:ascii="Arial" w:hAnsi="Arial" w:cs="Arial"/>
          <w:lang w:val="en-GB" w:eastAsia="pt-BR"/>
        </w:rPr>
        <w:t>,</w:t>
      </w:r>
      <w:r w:rsidRPr="001316B0">
        <w:rPr>
          <w:rFonts w:ascii="Arial" w:hAnsi="Arial" w:cs="Arial"/>
          <w:lang w:val="en-GB" w:eastAsia="pt-BR"/>
        </w:rPr>
        <w:t xml:space="preserve"> with a foreseen potential of </w:t>
      </w:r>
      <w:r w:rsidR="00373208" w:rsidRPr="001316B0">
        <w:rPr>
          <w:rFonts w:ascii="Arial" w:hAnsi="Arial" w:cs="Arial"/>
          <w:lang w:val="en-GB" w:eastAsia="pt-BR"/>
        </w:rPr>
        <w:t xml:space="preserve">10 </w:t>
      </w:r>
      <w:r w:rsidRPr="001316B0">
        <w:rPr>
          <w:rFonts w:ascii="Arial" w:hAnsi="Arial" w:cs="Arial"/>
          <w:lang w:val="en-GB" w:eastAsia="pt-BR"/>
        </w:rPr>
        <w:t xml:space="preserve">thousand </w:t>
      </w:r>
      <w:r w:rsidR="00373208" w:rsidRPr="001316B0">
        <w:rPr>
          <w:rFonts w:ascii="Arial" w:hAnsi="Arial" w:cs="Arial"/>
          <w:lang w:val="en-GB" w:eastAsia="pt-BR"/>
        </w:rPr>
        <w:t xml:space="preserve">MW </w:t>
      </w:r>
      <w:r w:rsidRPr="001316B0">
        <w:rPr>
          <w:rFonts w:ascii="Arial" w:hAnsi="Arial" w:cs="Arial"/>
          <w:lang w:val="en-GB" w:eastAsia="pt-BR"/>
        </w:rPr>
        <w:t>in</w:t>
      </w:r>
      <w:r w:rsidR="00373208" w:rsidRPr="001316B0">
        <w:rPr>
          <w:rFonts w:ascii="Arial" w:hAnsi="Arial" w:cs="Arial"/>
          <w:lang w:val="en-GB" w:eastAsia="pt-BR"/>
        </w:rPr>
        <w:t xml:space="preserve"> 2012, </w:t>
      </w:r>
      <w:r w:rsidRPr="001316B0">
        <w:rPr>
          <w:rFonts w:ascii="Arial" w:hAnsi="Arial" w:cs="Arial"/>
          <w:lang w:val="en-GB" w:eastAsia="pt-BR"/>
        </w:rPr>
        <w:t xml:space="preserve">according to projections of </w:t>
      </w:r>
      <w:proofErr w:type="spellStart"/>
      <w:r w:rsidRPr="001316B0">
        <w:rPr>
          <w:rFonts w:ascii="Arial" w:hAnsi="Arial" w:cs="Arial"/>
          <w:lang w:val="en-GB" w:eastAsia="pt-BR"/>
        </w:rPr>
        <w:t>U</w:t>
      </w:r>
      <w:r w:rsidR="00373208" w:rsidRPr="001316B0">
        <w:rPr>
          <w:rFonts w:ascii="Arial" w:hAnsi="Arial" w:cs="Arial"/>
          <w:lang w:val="en-GB" w:eastAsia="pt-BR"/>
        </w:rPr>
        <w:t>nica</w:t>
      </w:r>
      <w:proofErr w:type="spellEnd"/>
      <w:r w:rsidR="00BD4392" w:rsidRPr="001316B0">
        <w:rPr>
          <w:rFonts w:ascii="Arial" w:hAnsi="Arial" w:cs="Arial"/>
          <w:lang w:val="en-GB" w:eastAsia="pt-BR"/>
        </w:rPr>
        <w:t xml:space="preserve"> (</w:t>
      </w:r>
      <w:r w:rsidRPr="001316B0">
        <w:rPr>
          <w:rFonts w:ascii="Arial" w:hAnsi="Arial" w:cs="Arial"/>
          <w:lang w:val="en-GB" w:eastAsia="pt-BR"/>
        </w:rPr>
        <w:t>Union of the Sugarcane Industry</w:t>
      </w:r>
      <w:r w:rsidR="00BD4392" w:rsidRPr="001316B0">
        <w:rPr>
          <w:rFonts w:ascii="Arial" w:hAnsi="Arial" w:cs="Arial"/>
          <w:lang w:val="en-GB" w:eastAsia="pt-BR"/>
        </w:rPr>
        <w:t>)</w:t>
      </w:r>
      <w:r w:rsidR="00373208" w:rsidRPr="001316B0">
        <w:rPr>
          <w:rFonts w:ascii="Arial" w:hAnsi="Arial" w:cs="Arial"/>
          <w:lang w:val="en-GB" w:eastAsia="pt-BR"/>
        </w:rPr>
        <w:t>.</w:t>
      </w:r>
    </w:p>
    <w:p w14:paraId="4B8C508E" w14:textId="77777777" w:rsidR="000B732C" w:rsidRPr="001316B0" w:rsidRDefault="00A83F57"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color w:val="0000FF"/>
          <w:lang w:val="en-GB" w:eastAsia="pt-BR"/>
        </w:rPr>
      </w:pPr>
      <w:r w:rsidRPr="001316B0">
        <w:rPr>
          <w:rFonts w:ascii="Arial" w:hAnsi="Arial" w:cs="Arial"/>
          <w:lang w:val="en-GB" w:eastAsia="pt-BR"/>
        </w:rPr>
        <w:lastRenderedPageBreak/>
        <w:t xml:space="preserve">Biomass in the form of </w:t>
      </w:r>
      <w:r w:rsidR="00883785">
        <w:rPr>
          <w:rFonts w:ascii="Arial" w:hAnsi="Arial" w:cs="Arial"/>
          <w:lang w:val="en-GB" w:eastAsia="pt-BR"/>
        </w:rPr>
        <w:t>waste</w:t>
      </w:r>
      <w:r w:rsidR="000B732C" w:rsidRPr="001316B0">
        <w:rPr>
          <w:rFonts w:ascii="Arial" w:hAnsi="Arial" w:cs="Arial"/>
          <w:lang w:val="en-GB" w:eastAsia="pt-BR"/>
        </w:rPr>
        <w:t xml:space="preserve"> </w:t>
      </w:r>
      <w:r w:rsidR="00373208" w:rsidRPr="001316B0">
        <w:rPr>
          <w:rFonts w:ascii="Arial" w:hAnsi="Arial" w:cs="Arial"/>
          <w:lang w:val="en-GB" w:eastAsia="pt-BR"/>
        </w:rPr>
        <w:t>(</w:t>
      </w:r>
      <w:r w:rsidR="00883785">
        <w:rPr>
          <w:rFonts w:ascii="Arial" w:hAnsi="Arial" w:cs="Arial"/>
          <w:lang w:val="en-GB" w:eastAsia="pt-BR"/>
        </w:rPr>
        <w:t xml:space="preserve">like </w:t>
      </w:r>
      <w:r w:rsidRPr="001316B0">
        <w:rPr>
          <w:rFonts w:ascii="Arial" w:hAnsi="Arial" w:cs="Arial"/>
          <w:lang w:val="en-GB" w:eastAsia="pt-BR"/>
        </w:rPr>
        <w:t>solid urban waste and rice husks</w:t>
      </w:r>
      <w:r w:rsidR="00373208" w:rsidRPr="001316B0">
        <w:rPr>
          <w:rFonts w:ascii="Arial" w:hAnsi="Arial" w:cs="Arial"/>
          <w:lang w:val="en-GB" w:eastAsia="pt-BR"/>
        </w:rPr>
        <w:t xml:space="preserve">) </w:t>
      </w:r>
      <w:r w:rsidRPr="001316B0">
        <w:rPr>
          <w:rFonts w:ascii="Arial" w:hAnsi="Arial" w:cs="Arial"/>
          <w:lang w:val="en-GB" w:eastAsia="pt-BR"/>
        </w:rPr>
        <w:t xml:space="preserve">can also be an important </w:t>
      </w:r>
      <w:r w:rsidR="007A058C" w:rsidRPr="001316B0">
        <w:rPr>
          <w:rFonts w:ascii="Arial" w:hAnsi="Arial" w:cs="Arial"/>
          <w:lang w:val="en-GB" w:eastAsia="pt-BR"/>
        </w:rPr>
        <w:t xml:space="preserve">energy resource for local </w:t>
      </w:r>
      <w:r w:rsidR="005E7853">
        <w:rPr>
          <w:rFonts w:ascii="Arial" w:hAnsi="Arial" w:cs="Arial"/>
          <w:lang w:val="en-GB" w:eastAsia="pt-BR"/>
        </w:rPr>
        <w:t>supply</w:t>
      </w:r>
      <w:r w:rsidR="007A058C" w:rsidRPr="001316B0">
        <w:rPr>
          <w:rFonts w:ascii="Arial" w:hAnsi="Arial" w:cs="Arial"/>
          <w:lang w:val="en-GB" w:eastAsia="pt-BR"/>
        </w:rPr>
        <w:t>.</w:t>
      </w:r>
      <w:r w:rsidR="000B732C" w:rsidRPr="001316B0">
        <w:rPr>
          <w:rFonts w:ascii="Arial" w:hAnsi="Arial" w:cs="Arial"/>
          <w:color w:val="0000FF"/>
          <w:lang w:val="en-GB" w:eastAsia="pt-BR"/>
        </w:rPr>
        <w:t xml:space="preserve"> </w:t>
      </w:r>
    </w:p>
    <w:p w14:paraId="60FB40DC" w14:textId="77777777" w:rsidR="007A058C" w:rsidRPr="001316B0" w:rsidRDefault="007A058C" w:rsidP="002904EE">
      <w:pPr>
        <w:tabs>
          <w:tab w:val="decimal" w:pos="3024"/>
          <w:tab w:val="decimal" w:pos="4032"/>
          <w:tab w:val="decimal" w:pos="5040"/>
          <w:tab w:val="decimal" w:pos="5904"/>
          <w:tab w:val="decimal" w:pos="7056"/>
          <w:tab w:val="center" w:pos="8064"/>
        </w:tabs>
        <w:spacing w:line="360" w:lineRule="auto"/>
        <w:jc w:val="both"/>
        <w:rPr>
          <w:rFonts w:ascii="Calibri" w:hAnsi="Calibri" w:cs="Arial"/>
          <w:b/>
          <w:color w:val="FF0000"/>
          <w:sz w:val="22"/>
          <w:szCs w:val="22"/>
          <w:highlight w:val="yellow"/>
          <w:lang w:val="en-GB" w:eastAsia="pt-BR"/>
        </w:rPr>
      </w:pPr>
    </w:p>
    <w:p w14:paraId="21F419A1" w14:textId="77777777" w:rsidR="0016567B" w:rsidRPr="001316B0" w:rsidRDefault="0016567B" w:rsidP="002904EE">
      <w:pPr>
        <w:spacing w:line="360" w:lineRule="auto"/>
        <w:jc w:val="both"/>
        <w:rPr>
          <w:rFonts w:ascii="Calibri" w:hAnsi="Calibri"/>
          <w:b/>
          <w:color w:val="FF0000"/>
          <w:sz w:val="22"/>
          <w:szCs w:val="22"/>
          <w:lang w:val="en-GB" w:eastAsia="pt-BR"/>
        </w:rPr>
      </w:pPr>
    </w:p>
    <w:p w14:paraId="2C8809EF" w14:textId="77777777" w:rsidR="000B732C" w:rsidRPr="001316B0" w:rsidRDefault="00C661A1"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r w:rsidRPr="001316B0">
        <w:rPr>
          <w:rFonts w:ascii="Arial" w:hAnsi="Arial" w:cs="Arial"/>
          <w:b/>
          <w:lang w:val="en-GB" w:eastAsia="pt-BR"/>
        </w:rPr>
        <w:t>Solar energy</w:t>
      </w:r>
    </w:p>
    <w:p w14:paraId="79F1E47F" w14:textId="77777777" w:rsidR="000B732C" w:rsidRPr="001316B0" w:rsidRDefault="00EF7844"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Brazil ranks second in the global scenario for incident solar energy</w:t>
      </w:r>
      <w:r w:rsidR="000B732C" w:rsidRPr="001316B0">
        <w:rPr>
          <w:rFonts w:ascii="Arial" w:hAnsi="Arial" w:cs="Arial"/>
          <w:lang w:val="en-GB" w:eastAsia="pt-BR"/>
        </w:rPr>
        <w:t xml:space="preserve">. </w:t>
      </w:r>
      <w:r w:rsidR="00C3620D" w:rsidRPr="001316B0">
        <w:rPr>
          <w:rFonts w:ascii="Arial" w:hAnsi="Arial" w:cs="Arial"/>
          <w:lang w:val="en-GB" w:eastAsia="pt-BR"/>
        </w:rPr>
        <w:t xml:space="preserve">On any given horizontal surface on national territory, average incident solar radiation is between </w:t>
      </w:r>
      <w:r w:rsidR="000B732C" w:rsidRPr="001316B0">
        <w:rPr>
          <w:rFonts w:ascii="Arial" w:hAnsi="Arial" w:cs="Arial"/>
          <w:lang w:val="en-GB" w:eastAsia="pt-BR"/>
        </w:rPr>
        <w:t>1500</w:t>
      </w:r>
      <w:r w:rsidR="00C3620D" w:rsidRPr="001316B0">
        <w:rPr>
          <w:rFonts w:ascii="Arial" w:hAnsi="Arial" w:cs="Arial"/>
          <w:lang w:val="en-GB" w:eastAsia="pt-BR"/>
        </w:rPr>
        <w:t xml:space="preserve"> and</w:t>
      </w:r>
      <w:r w:rsidR="000B732C" w:rsidRPr="001316B0">
        <w:rPr>
          <w:rFonts w:ascii="Arial" w:hAnsi="Arial" w:cs="Arial"/>
          <w:lang w:val="en-GB" w:eastAsia="pt-BR"/>
        </w:rPr>
        <w:t xml:space="preserve"> 2000 kwh/m</w:t>
      </w:r>
      <w:r w:rsidR="000B732C" w:rsidRPr="001316B0">
        <w:rPr>
          <w:rFonts w:ascii="Arial" w:hAnsi="Arial" w:cs="Arial"/>
          <w:vertAlign w:val="superscript"/>
          <w:lang w:val="en-GB" w:eastAsia="pt-BR"/>
        </w:rPr>
        <w:t>2</w:t>
      </w:r>
      <w:r w:rsidR="000B732C" w:rsidRPr="001316B0">
        <w:rPr>
          <w:rFonts w:ascii="Arial" w:hAnsi="Arial" w:cs="Arial"/>
          <w:lang w:val="en-GB" w:eastAsia="pt-BR"/>
        </w:rPr>
        <w:t xml:space="preserve"> </w:t>
      </w:r>
      <w:r w:rsidR="00C3620D" w:rsidRPr="001316B0">
        <w:rPr>
          <w:rFonts w:ascii="Arial" w:hAnsi="Arial" w:cs="Arial"/>
          <w:lang w:val="en-GB" w:eastAsia="pt-BR"/>
        </w:rPr>
        <w:t>per year, depending on the location.</w:t>
      </w:r>
      <w:r w:rsidR="006052C4" w:rsidRPr="001316B0">
        <w:rPr>
          <w:rFonts w:ascii="Arial" w:hAnsi="Arial" w:cs="Arial"/>
          <w:lang w:val="en-GB" w:eastAsia="pt-BR"/>
        </w:rPr>
        <w:t xml:space="preserve"> </w:t>
      </w:r>
      <w:r w:rsidR="00326427">
        <w:rPr>
          <w:rFonts w:ascii="Arial" w:hAnsi="Arial" w:cs="Arial"/>
          <w:lang w:val="en-GB" w:eastAsia="pt-BR"/>
        </w:rPr>
        <w:t>Considering that a</w:t>
      </w:r>
      <w:r w:rsidR="006052C4" w:rsidRPr="001316B0">
        <w:rPr>
          <w:rFonts w:ascii="Arial" w:hAnsi="Arial" w:cs="Arial"/>
          <w:lang w:val="en-GB" w:eastAsia="pt-BR"/>
        </w:rPr>
        <w:t>verage conversion efficiency of 6% of solar energy into electricity through photovoltaic cells in an area equivalent to</w:t>
      </w:r>
      <w:r w:rsidR="000B732C" w:rsidRPr="001316B0">
        <w:rPr>
          <w:rFonts w:ascii="Arial" w:hAnsi="Arial" w:cs="Arial"/>
          <w:lang w:val="en-GB" w:eastAsia="pt-BR"/>
        </w:rPr>
        <w:t xml:space="preserve"> 142 </w:t>
      </w:r>
      <w:r w:rsidR="00326427">
        <w:rPr>
          <w:rFonts w:ascii="Arial" w:hAnsi="Arial" w:cs="Arial"/>
          <w:lang w:val="en-GB" w:eastAsia="pt-BR"/>
        </w:rPr>
        <w:t>thousand</w:t>
      </w:r>
      <w:r w:rsidR="000B732C" w:rsidRPr="001316B0">
        <w:rPr>
          <w:rFonts w:ascii="Arial" w:hAnsi="Arial" w:cs="Arial"/>
          <w:lang w:val="en-GB" w:eastAsia="pt-BR"/>
        </w:rPr>
        <w:t xml:space="preserve"> km</w:t>
      </w:r>
      <w:r w:rsidR="000B732C" w:rsidRPr="001316B0">
        <w:rPr>
          <w:rFonts w:ascii="Arial" w:hAnsi="Arial" w:cs="Arial"/>
          <w:vertAlign w:val="superscript"/>
          <w:lang w:val="en-GB" w:eastAsia="pt-BR"/>
        </w:rPr>
        <w:t>2</w:t>
      </w:r>
      <w:r w:rsidR="000B732C" w:rsidRPr="001316B0">
        <w:rPr>
          <w:rFonts w:ascii="Arial" w:hAnsi="Arial" w:cs="Arial"/>
          <w:lang w:val="en-GB" w:eastAsia="pt-BR"/>
        </w:rPr>
        <w:t xml:space="preserve"> </w:t>
      </w:r>
      <w:r w:rsidR="006052C4" w:rsidRPr="001316B0">
        <w:rPr>
          <w:rFonts w:ascii="Arial" w:hAnsi="Arial" w:cs="Arial"/>
          <w:lang w:val="en-GB" w:eastAsia="pt-BR"/>
        </w:rPr>
        <w:t>flooded by reservoirs formed by dams</w:t>
      </w:r>
      <w:r w:rsidR="00326427">
        <w:rPr>
          <w:rFonts w:ascii="Arial" w:hAnsi="Arial" w:cs="Arial"/>
          <w:lang w:val="en-GB" w:eastAsia="pt-BR"/>
        </w:rPr>
        <w:t xml:space="preserve">, </w:t>
      </w:r>
      <w:r w:rsidR="006052C4" w:rsidRPr="001316B0">
        <w:rPr>
          <w:rFonts w:ascii="Arial" w:hAnsi="Arial" w:cs="Arial"/>
          <w:lang w:val="en-GB" w:eastAsia="pt-BR"/>
        </w:rPr>
        <w:t xml:space="preserve">all the hydroelectric potential of the country would produce around </w:t>
      </w:r>
      <w:r w:rsidR="000B732C" w:rsidRPr="001316B0">
        <w:rPr>
          <w:rFonts w:ascii="Arial" w:hAnsi="Arial" w:cs="Arial"/>
          <w:lang w:val="en-GB" w:eastAsia="pt-BR"/>
        </w:rPr>
        <w:t>15 tri</w:t>
      </w:r>
      <w:r w:rsidR="006052C4" w:rsidRPr="001316B0">
        <w:rPr>
          <w:rFonts w:ascii="Arial" w:hAnsi="Arial" w:cs="Arial"/>
          <w:lang w:val="en-GB" w:eastAsia="pt-BR"/>
        </w:rPr>
        <w:t xml:space="preserve">llion </w:t>
      </w:r>
      <w:r w:rsidR="000B732C" w:rsidRPr="001316B0">
        <w:rPr>
          <w:rFonts w:ascii="Arial" w:hAnsi="Arial" w:cs="Arial"/>
          <w:lang w:val="en-GB" w:eastAsia="pt-BR"/>
        </w:rPr>
        <w:t>kwh/</w:t>
      </w:r>
      <w:r w:rsidR="006052C4" w:rsidRPr="001316B0">
        <w:rPr>
          <w:rFonts w:ascii="Arial" w:hAnsi="Arial" w:cs="Arial"/>
          <w:lang w:val="en-GB" w:eastAsia="pt-BR"/>
        </w:rPr>
        <w:t>year,  which is more than 20 times the inventoried hydroelectric potential value.</w:t>
      </w:r>
      <w:r w:rsidR="00B00F65" w:rsidRPr="001316B0">
        <w:rPr>
          <w:rFonts w:ascii="Arial" w:hAnsi="Arial" w:cs="Arial"/>
          <w:lang w:val="en-GB" w:eastAsia="pt-BR"/>
        </w:rPr>
        <w:t xml:space="preserve"> Today, the practical significance of this comparison is limited by the difference in costs of the two sources</w:t>
      </w:r>
      <w:r w:rsidR="000B732C" w:rsidRPr="001316B0">
        <w:rPr>
          <w:rFonts w:ascii="Arial" w:hAnsi="Arial" w:cs="Arial"/>
          <w:lang w:val="en-GB" w:eastAsia="pt-BR"/>
        </w:rPr>
        <w:t xml:space="preserve">: </w:t>
      </w:r>
      <w:r w:rsidR="00B00F65" w:rsidRPr="001316B0">
        <w:rPr>
          <w:rFonts w:ascii="Arial" w:hAnsi="Arial" w:cs="Arial"/>
          <w:lang w:val="en-GB" w:eastAsia="pt-BR"/>
        </w:rPr>
        <w:t xml:space="preserve">around </w:t>
      </w:r>
      <w:r w:rsidR="000B732C" w:rsidRPr="001316B0">
        <w:rPr>
          <w:rFonts w:ascii="Arial" w:hAnsi="Arial" w:cs="Arial"/>
          <w:lang w:val="en-GB" w:eastAsia="pt-BR"/>
        </w:rPr>
        <w:t>2000 US$/</w:t>
      </w:r>
      <w:proofErr w:type="gramStart"/>
      <w:r w:rsidR="000B732C" w:rsidRPr="001316B0">
        <w:rPr>
          <w:rFonts w:ascii="Arial" w:hAnsi="Arial" w:cs="Arial"/>
          <w:lang w:val="en-GB" w:eastAsia="pt-BR"/>
        </w:rPr>
        <w:t>kw</w:t>
      </w:r>
      <w:proofErr w:type="gramEnd"/>
      <w:r w:rsidR="000B732C" w:rsidRPr="001316B0">
        <w:rPr>
          <w:rFonts w:ascii="Arial" w:hAnsi="Arial" w:cs="Arial"/>
          <w:lang w:val="en-GB" w:eastAsia="pt-BR"/>
        </w:rPr>
        <w:t xml:space="preserve"> </w:t>
      </w:r>
      <w:r w:rsidR="00B00F65" w:rsidRPr="001316B0">
        <w:rPr>
          <w:rFonts w:ascii="Arial" w:hAnsi="Arial" w:cs="Arial"/>
          <w:lang w:val="en-GB" w:eastAsia="pt-BR"/>
        </w:rPr>
        <w:t xml:space="preserve">for hydroelectricity against </w:t>
      </w:r>
      <w:r w:rsidR="00964590" w:rsidRPr="001316B0">
        <w:rPr>
          <w:rFonts w:ascii="Arial" w:hAnsi="Arial" w:cs="Arial"/>
          <w:lang w:val="en-GB" w:eastAsia="pt-BR"/>
        </w:rPr>
        <w:t>6000</w:t>
      </w:r>
      <w:r w:rsidR="000B732C" w:rsidRPr="001316B0">
        <w:rPr>
          <w:rFonts w:ascii="Arial" w:hAnsi="Arial" w:cs="Arial"/>
          <w:lang w:val="en-GB" w:eastAsia="pt-BR"/>
        </w:rPr>
        <w:t xml:space="preserve"> US$/kw </w:t>
      </w:r>
      <w:r w:rsidR="00B00F65" w:rsidRPr="001316B0">
        <w:rPr>
          <w:rFonts w:ascii="Arial" w:hAnsi="Arial" w:cs="Arial"/>
          <w:lang w:val="en-GB" w:eastAsia="pt-BR"/>
        </w:rPr>
        <w:t>for photovoltaic solar energy</w:t>
      </w:r>
      <w:r w:rsidR="000B732C" w:rsidRPr="001316B0">
        <w:rPr>
          <w:rFonts w:ascii="Arial" w:hAnsi="Arial" w:cs="Arial"/>
          <w:lang w:val="en-GB" w:eastAsia="pt-BR"/>
        </w:rPr>
        <w:t xml:space="preserve">. </w:t>
      </w:r>
      <w:r w:rsidR="00B00F65" w:rsidRPr="001316B0">
        <w:rPr>
          <w:rFonts w:ascii="Arial" w:hAnsi="Arial" w:cs="Arial"/>
          <w:lang w:val="en-GB" w:eastAsia="pt-BR"/>
        </w:rPr>
        <w:t xml:space="preserve">In the future, however, photovoltaic cells may become competitive if the cost reduction trend continues, which was </w:t>
      </w:r>
      <w:r w:rsidR="000B732C" w:rsidRPr="001316B0">
        <w:rPr>
          <w:rFonts w:ascii="Arial" w:hAnsi="Arial" w:cs="Arial"/>
          <w:lang w:val="en-GB" w:eastAsia="pt-BR"/>
        </w:rPr>
        <w:t xml:space="preserve">20000 </w:t>
      </w:r>
      <w:r w:rsidR="00D24910" w:rsidRPr="001316B0">
        <w:rPr>
          <w:rFonts w:ascii="Arial" w:hAnsi="Arial" w:cs="Arial"/>
          <w:lang w:val="en-GB" w:eastAsia="pt-BR"/>
        </w:rPr>
        <w:t xml:space="preserve">US$/kw </w:t>
      </w:r>
      <w:r w:rsidR="00B00F65" w:rsidRPr="001316B0">
        <w:rPr>
          <w:rFonts w:ascii="Arial" w:hAnsi="Arial" w:cs="Arial"/>
          <w:lang w:val="en-GB" w:eastAsia="pt-BR"/>
        </w:rPr>
        <w:t xml:space="preserve">at the end of the 70s, </w:t>
      </w:r>
      <w:r w:rsidR="00222BDC" w:rsidRPr="001316B0">
        <w:rPr>
          <w:rFonts w:ascii="Arial" w:hAnsi="Arial" w:cs="Arial"/>
          <w:lang w:val="en-GB" w:eastAsia="pt-BR"/>
        </w:rPr>
        <w:t>and the usage cost of hydroelectric potential continues to grow.</w:t>
      </w:r>
      <w:r w:rsidR="0012419B" w:rsidRPr="001316B0">
        <w:rPr>
          <w:rFonts w:ascii="Arial" w:hAnsi="Arial" w:cs="Arial"/>
          <w:lang w:val="en-GB" w:eastAsia="pt-BR"/>
        </w:rPr>
        <w:t xml:space="preserve"> From a technological standpoint, there is a qualification potential considering that Brazil was the first developing country to commercially produce the photovoltaic cell from monocrystalline silicon instead of merely restricting activities to solar panel assembly.</w:t>
      </w:r>
      <w:r w:rsidR="001B24EA" w:rsidRPr="001316B0">
        <w:rPr>
          <w:rFonts w:ascii="Arial" w:hAnsi="Arial" w:cs="Arial"/>
          <w:lang w:val="en-GB" w:eastAsia="pt-BR"/>
        </w:rPr>
        <w:t xml:space="preserve"> Recent investments of European companies together with local partners should </w:t>
      </w:r>
      <w:r w:rsidR="00821491">
        <w:rPr>
          <w:rFonts w:ascii="Arial" w:hAnsi="Arial" w:cs="Arial"/>
          <w:lang w:val="en-GB" w:eastAsia="pt-BR"/>
        </w:rPr>
        <w:t xml:space="preserve">open </w:t>
      </w:r>
      <w:r w:rsidR="001B24EA" w:rsidRPr="001316B0">
        <w:rPr>
          <w:rFonts w:ascii="Arial" w:hAnsi="Arial" w:cs="Arial"/>
          <w:lang w:val="en-GB" w:eastAsia="pt-BR"/>
        </w:rPr>
        <w:t>the market, extending the scale and lowering the costs, initially in the construction sector (solar roofs and facades) and installations for large sporting events held in the country</w:t>
      </w:r>
      <w:r w:rsidR="00373208" w:rsidRPr="001316B0">
        <w:rPr>
          <w:rFonts w:ascii="Arial" w:hAnsi="Arial" w:cs="Arial"/>
          <w:lang w:val="en-GB" w:eastAsia="pt-BR"/>
        </w:rPr>
        <w:t xml:space="preserve"> (</w:t>
      </w:r>
      <w:r w:rsidR="001B24EA" w:rsidRPr="001316B0">
        <w:rPr>
          <w:rFonts w:ascii="Arial" w:hAnsi="Arial" w:cs="Arial"/>
          <w:lang w:val="en-GB" w:eastAsia="pt-BR"/>
        </w:rPr>
        <w:t>stadiums for the 2014 World Cup and the 2016 Olympic Games</w:t>
      </w:r>
      <w:r w:rsidR="00373208" w:rsidRPr="001316B0">
        <w:rPr>
          <w:rFonts w:ascii="Arial" w:hAnsi="Arial" w:cs="Arial"/>
          <w:lang w:val="en-GB" w:eastAsia="pt-BR"/>
        </w:rPr>
        <w:t>)</w:t>
      </w:r>
      <w:r w:rsidR="00A30605" w:rsidRPr="001316B0">
        <w:rPr>
          <w:rFonts w:ascii="Arial" w:hAnsi="Arial" w:cs="Arial"/>
          <w:lang w:val="en-GB" w:eastAsia="pt-BR"/>
        </w:rPr>
        <w:t>.</w:t>
      </w:r>
    </w:p>
    <w:p w14:paraId="4FD7D1B3" w14:textId="77777777" w:rsidR="000B732C" w:rsidRPr="001316B0" w:rsidRDefault="004D2714"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Currently, however, the most common use of solar energy</w:t>
      </w:r>
      <w:r w:rsidR="00821491">
        <w:rPr>
          <w:rFonts w:ascii="Arial" w:hAnsi="Arial" w:cs="Arial"/>
          <w:lang w:val="en-GB" w:eastAsia="pt-BR"/>
        </w:rPr>
        <w:t xml:space="preserve"> in Brazil </w:t>
      </w:r>
      <w:r w:rsidRPr="001316B0">
        <w:rPr>
          <w:rFonts w:ascii="Arial" w:hAnsi="Arial" w:cs="Arial"/>
          <w:lang w:val="en-GB" w:eastAsia="pt-BR"/>
        </w:rPr>
        <w:t xml:space="preserve">is water heating in homes, hotels, hospitals and swimming pools. There are more than </w:t>
      </w:r>
      <w:r w:rsidR="00964590" w:rsidRPr="001316B0">
        <w:rPr>
          <w:rFonts w:ascii="Arial" w:hAnsi="Arial" w:cs="Arial"/>
          <w:lang w:val="en-GB" w:eastAsia="pt-BR"/>
        </w:rPr>
        <w:t>1000</w:t>
      </w:r>
      <w:r w:rsidRPr="001316B0">
        <w:rPr>
          <w:rFonts w:ascii="Arial" w:hAnsi="Arial" w:cs="Arial"/>
          <w:lang w:val="en-GB" w:eastAsia="pt-BR"/>
        </w:rPr>
        <w:t xml:space="preserve"> companies in </w:t>
      </w:r>
      <w:r w:rsidR="00821491">
        <w:rPr>
          <w:rFonts w:ascii="Arial" w:hAnsi="Arial" w:cs="Arial"/>
          <w:lang w:val="en-GB" w:eastAsia="pt-BR"/>
        </w:rPr>
        <w:t xml:space="preserve">the country </w:t>
      </w:r>
      <w:r w:rsidRPr="001316B0">
        <w:rPr>
          <w:rFonts w:ascii="Arial" w:hAnsi="Arial" w:cs="Arial"/>
          <w:lang w:val="en-GB" w:eastAsia="pt-BR"/>
        </w:rPr>
        <w:t xml:space="preserve">that produce and install flat solar collectors for heating water, and the installed surface of collectors has reached </w:t>
      </w:r>
      <w:r w:rsidR="00964590" w:rsidRPr="001316B0">
        <w:rPr>
          <w:rFonts w:ascii="Arial" w:hAnsi="Arial" w:cs="Arial"/>
          <w:lang w:val="en-GB" w:eastAsia="pt-BR"/>
        </w:rPr>
        <w:t xml:space="preserve">6 </w:t>
      </w:r>
      <w:r w:rsidRPr="001316B0">
        <w:rPr>
          <w:rFonts w:ascii="Arial" w:hAnsi="Arial" w:cs="Arial"/>
          <w:lang w:val="en-GB" w:eastAsia="pt-BR"/>
        </w:rPr>
        <w:t xml:space="preserve">million </w:t>
      </w:r>
      <w:r w:rsidR="000B732C" w:rsidRPr="001316B0">
        <w:rPr>
          <w:rFonts w:ascii="Arial" w:hAnsi="Arial" w:cs="Arial"/>
          <w:lang w:val="en-GB" w:eastAsia="pt-BR"/>
        </w:rPr>
        <w:t>m</w:t>
      </w:r>
      <w:r w:rsidR="000B732C" w:rsidRPr="001316B0">
        <w:rPr>
          <w:rFonts w:ascii="Arial" w:hAnsi="Arial" w:cs="Arial"/>
          <w:vertAlign w:val="superscript"/>
          <w:lang w:val="en-GB" w:eastAsia="pt-BR"/>
        </w:rPr>
        <w:t>2</w:t>
      </w:r>
      <w:r w:rsidR="000B732C" w:rsidRPr="001316B0">
        <w:rPr>
          <w:rFonts w:ascii="Arial" w:hAnsi="Arial" w:cs="Arial"/>
          <w:lang w:val="en-GB" w:eastAsia="pt-BR"/>
        </w:rPr>
        <w:t xml:space="preserve">. </w:t>
      </w:r>
      <w:r w:rsidR="00C06A8A" w:rsidRPr="001316B0">
        <w:rPr>
          <w:rFonts w:ascii="Arial" w:hAnsi="Arial" w:cs="Arial"/>
          <w:lang w:val="en-GB" w:eastAsia="pt-BR"/>
        </w:rPr>
        <w:t xml:space="preserve">Solar drying of farm products, environmental </w:t>
      </w:r>
      <w:r w:rsidR="00AF442E" w:rsidRPr="001316B0">
        <w:rPr>
          <w:rFonts w:ascii="Arial" w:hAnsi="Arial" w:cs="Arial"/>
          <w:lang w:val="en-GB" w:eastAsia="pt-BR"/>
        </w:rPr>
        <w:t>acclimatization</w:t>
      </w:r>
      <w:r w:rsidR="00C06A8A" w:rsidRPr="001316B0">
        <w:rPr>
          <w:rFonts w:ascii="Arial" w:hAnsi="Arial" w:cs="Arial"/>
          <w:lang w:val="en-GB" w:eastAsia="pt-BR"/>
        </w:rPr>
        <w:t xml:space="preserve">, water pumping, solar refrigeration, water </w:t>
      </w:r>
      <w:r w:rsidR="00AF442E" w:rsidRPr="001316B0">
        <w:rPr>
          <w:rFonts w:ascii="Arial" w:hAnsi="Arial" w:cs="Arial"/>
          <w:lang w:val="en-GB" w:eastAsia="pt-BR"/>
        </w:rPr>
        <w:t>distillation</w:t>
      </w:r>
      <w:r w:rsidR="00C06A8A" w:rsidRPr="001316B0">
        <w:rPr>
          <w:rFonts w:ascii="Arial" w:hAnsi="Arial" w:cs="Arial"/>
          <w:lang w:val="en-GB" w:eastAsia="pt-BR"/>
        </w:rPr>
        <w:t xml:space="preserve"> and desalinization have all been researched and demonstrated in the country at pilot-level.</w:t>
      </w:r>
      <w:r w:rsidR="0086134A" w:rsidRPr="001316B0">
        <w:rPr>
          <w:rFonts w:ascii="Arial" w:hAnsi="Arial" w:cs="Arial"/>
          <w:lang w:val="en-GB" w:eastAsia="pt-BR"/>
        </w:rPr>
        <w:t xml:space="preserve"> In some cases, especially in rural areas, these options have proven financially feasible</w:t>
      </w:r>
      <w:r w:rsidR="000B732C" w:rsidRPr="001316B0">
        <w:rPr>
          <w:rFonts w:ascii="Arial" w:hAnsi="Arial" w:cs="Arial"/>
          <w:lang w:val="en-GB" w:eastAsia="pt-BR"/>
        </w:rPr>
        <w:t xml:space="preserve">. </w:t>
      </w:r>
      <w:r w:rsidR="0086134A" w:rsidRPr="001316B0">
        <w:rPr>
          <w:rFonts w:ascii="Arial" w:hAnsi="Arial" w:cs="Arial"/>
          <w:lang w:val="en-GB" w:eastAsia="pt-BR"/>
        </w:rPr>
        <w:lastRenderedPageBreak/>
        <w:t>The high initial cost, however, is an important obstacle as there is a lack of financial mechanisms for the consumer, which also occurs with other unconventional energy sources.</w:t>
      </w:r>
      <w:r w:rsidR="000B732C" w:rsidRPr="001316B0">
        <w:rPr>
          <w:rFonts w:ascii="Arial" w:hAnsi="Arial" w:cs="Arial"/>
          <w:lang w:val="en-GB" w:eastAsia="pt-BR"/>
        </w:rPr>
        <w:t xml:space="preserve"> </w:t>
      </w:r>
    </w:p>
    <w:p w14:paraId="259499B8" w14:textId="77777777" w:rsidR="000B732C" w:rsidRPr="001316B0" w:rsidRDefault="00326915"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In general, the resulting environmental impact of solar energy use are globally positive due to the conservation of non-renewable energy resources and the reduction of pollutants produced in the burning process, considering that solar energy is minimally aggressive to the environment and it can be captured in small-scale basis.</w:t>
      </w:r>
      <w:r w:rsidR="000B732C" w:rsidRPr="001316B0">
        <w:rPr>
          <w:rFonts w:ascii="Arial" w:hAnsi="Arial" w:cs="Arial"/>
          <w:lang w:val="en-GB" w:eastAsia="pt-BR"/>
        </w:rPr>
        <w:t xml:space="preserve"> </w:t>
      </w:r>
      <w:r w:rsidR="005F78C5" w:rsidRPr="001316B0">
        <w:rPr>
          <w:rFonts w:ascii="Arial" w:hAnsi="Arial" w:cs="Arial"/>
          <w:lang w:val="en-GB" w:eastAsia="pt-BR"/>
        </w:rPr>
        <w:t>Although area requirements (collection surface) are comparable to the conventional thermoelectric units, most occupied surface comprises unproductive land that is not used for other purposes, or the roofs of buildings, for example.</w:t>
      </w:r>
    </w:p>
    <w:p w14:paraId="50D9EB94" w14:textId="77777777" w:rsidR="00AD2835" w:rsidRPr="001316B0" w:rsidRDefault="00AD2835"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p>
    <w:p w14:paraId="532F6E65" w14:textId="77777777" w:rsidR="003B0B61" w:rsidRPr="001316B0" w:rsidRDefault="003B0B61"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p>
    <w:p w14:paraId="5DAB0C87" w14:textId="77777777" w:rsidR="002D55B1" w:rsidRPr="001316B0" w:rsidRDefault="003B0B61"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r w:rsidRPr="001316B0">
        <w:rPr>
          <w:rFonts w:ascii="Arial" w:hAnsi="Arial" w:cs="Arial"/>
          <w:b/>
          <w:lang w:val="en-GB" w:eastAsia="pt-BR"/>
        </w:rPr>
        <w:t>Wind Energy</w:t>
      </w:r>
    </w:p>
    <w:p w14:paraId="060C9035" w14:textId="77777777" w:rsidR="00886B81" w:rsidRPr="001316B0" w:rsidRDefault="005547EF" w:rsidP="002904EE">
      <w:pPr>
        <w:autoSpaceDE w:val="0"/>
        <w:autoSpaceDN w:val="0"/>
        <w:adjustRightInd w:val="0"/>
        <w:spacing w:line="360" w:lineRule="auto"/>
        <w:jc w:val="both"/>
        <w:rPr>
          <w:rFonts w:ascii="Arial" w:eastAsia="Calibri" w:hAnsi="Arial" w:cs="Arial"/>
          <w:lang w:val="en-GB" w:eastAsia="pt-BR"/>
        </w:rPr>
      </w:pPr>
      <w:r w:rsidRPr="001316B0">
        <w:rPr>
          <w:rFonts w:ascii="Arial" w:hAnsi="Arial" w:cs="Arial"/>
          <w:lang w:val="en-GB" w:eastAsia="pt-BR"/>
        </w:rPr>
        <w:t xml:space="preserve">The Brazilian Wind Energy Atlas Potential created in </w:t>
      </w:r>
      <w:r w:rsidR="003F31E3" w:rsidRPr="001316B0">
        <w:rPr>
          <w:rFonts w:ascii="Arial" w:hAnsi="Arial" w:cs="Arial"/>
          <w:lang w:val="en-GB" w:eastAsia="pt-BR"/>
        </w:rPr>
        <w:t xml:space="preserve">2001 </w:t>
      </w:r>
      <w:r w:rsidRPr="001316B0">
        <w:rPr>
          <w:rFonts w:ascii="Arial" w:hAnsi="Arial" w:cs="Arial"/>
          <w:lang w:val="en-GB" w:eastAsia="pt-BR"/>
        </w:rPr>
        <w:t xml:space="preserve">by </w:t>
      </w:r>
      <w:r w:rsidR="003F31E3" w:rsidRPr="001316B0">
        <w:rPr>
          <w:rFonts w:ascii="Arial" w:hAnsi="Arial" w:cs="Arial"/>
          <w:lang w:val="en-GB" w:eastAsia="pt-BR"/>
        </w:rPr>
        <w:t>CEPEL</w:t>
      </w:r>
      <w:r w:rsidRPr="001316B0">
        <w:rPr>
          <w:rFonts w:ascii="Arial" w:hAnsi="Arial" w:cs="Arial"/>
          <w:lang w:val="en-GB" w:eastAsia="pt-BR"/>
        </w:rPr>
        <w:t xml:space="preserve"> (Electrical Energy Research Centre)</w:t>
      </w:r>
      <w:r w:rsidR="00522C03" w:rsidRPr="001316B0">
        <w:rPr>
          <w:rFonts w:ascii="Arial" w:hAnsi="Arial" w:cs="Arial"/>
          <w:lang w:val="en-GB" w:eastAsia="pt-BR"/>
        </w:rPr>
        <w:t xml:space="preserve"> </w:t>
      </w:r>
      <w:r w:rsidRPr="001316B0">
        <w:rPr>
          <w:rFonts w:ascii="Arial" w:hAnsi="Arial" w:cs="Arial"/>
          <w:lang w:val="en-GB" w:eastAsia="pt-BR"/>
        </w:rPr>
        <w:t>shows that the country has an estimated potential of 143.</w:t>
      </w:r>
      <w:r w:rsidR="00522C03" w:rsidRPr="001316B0">
        <w:rPr>
          <w:rFonts w:ascii="Arial" w:hAnsi="Arial" w:cs="Arial"/>
          <w:lang w:val="en-GB" w:eastAsia="pt-BR"/>
        </w:rPr>
        <w:t xml:space="preserve">5 </w:t>
      </w:r>
      <w:r w:rsidRPr="001316B0">
        <w:rPr>
          <w:rFonts w:ascii="Arial" w:hAnsi="Arial" w:cs="Arial"/>
          <w:lang w:val="en-GB" w:eastAsia="pt-BR"/>
        </w:rPr>
        <w:t>thousand</w:t>
      </w:r>
      <w:r w:rsidR="00522C03" w:rsidRPr="001316B0">
        <w:rPr>
          <w:rFonts w:ascii="Arial" w:hAnsi="Arial" w:cs="Arial"/>
          <w:lang w:val="en-GB" w:eastAsia="pt-BR"/>
        </w:rPr>
        <w:t xml:space="preserve"> MW, </w:t>
      </w:r>
      <w:r w:rsidRPr="001316B0">
        <w:rPr>
          <w:rFonts w:ascii="Arial" w:hAnsi="Arial" w:cs="Arial"/>
          <w:lang w:val="en-GB" w:eastAsia="pt-BR"/>
        </w:rPr>
        <w:t>for average annual winds equal to or above 7.</w:t>
      </w:r>
      <w:r w:rsidR="00522C03" w:rsidRPr="001316B0">
        <w:rPr>
          <w:rFonts w:ascii="Arial" w:hAnsi="Arial" w:cs="Arial"/>
          <w:lang w:val="en-GB" w:eastAsia="pt-BR"/>
        </w:rPr>
        <w:t xml:space="preserve">0 m/s, </w:t>
      </w:r>
      <w:r w:rsidRPr="001316B0">
        <w:rPr>
          <w:rFonts w:ascii="Arial" w:hAnsi="Arial" w:cs="Arial"/>
          <w:lang w:val="en-GB" w:eastAsia="pt-BR"/>
        </w:rPr>
        <w:t>providing estimated annual generation of 272.</w:t>
      </w:r>
      <w:r w:rsidR="00522C03" w:rsidRPr="001316B0">
        <w:rPr>
          <w:rFonts w:ascii="Arial" w:hAnsi="Arial" w:cs="Arial"/>
          <w:lang w:val="en-GB" w:eastAsia="pt-BR"/>
        </w:rPr>
        <w:t xml:space="preserve">2 </w:t>
      </w:r>
      <w:r w:rsidRPr="001316B0">
        <w:rPr>
          <w:rFonts w:ascii="Arial" w:hAnsi="Arial" w:cs="Arial"/>
          <w:lang w:val="en-GB" w:eastAsia="pt-BR"/>
        </w:rPr>
        <w:t xml:space="preserve">billion </w:t>
      </w:r>
      <w:r w:rsidR="00522C03" w:rsidRPr="001316B0">
        <w:rPr>
          <w:rFonts w:ascii="Arial" w:hAnsi="Arial" w:cs="Arial"/>
          <w:lang w:val="en-GB" w:eastAsia="pt-BR"/>
        </w:rPr>
        <w:t>kWh/</w:t>
      </w:r>
      <w:r w:rsidRPr="001316B0">
        <w:rPr>
          <w:rFonts w:ascii="Arial" w:hAnsi="Arial" w:cs="Arial"/>
          <w:lang w:val="en-GB" w:eastAsia="pt-BR"/>
        </w:rPr>
        <w:t>year</w:t>
      </w:r>
      <w:r w:rsidR="00522C03" w:rsidRPr="001316B0">
        <w:rPr>
          <w:rFonts w:ascii="Arial" w:hAnsi="Arial" w:cs="Arial"/>
          <w:lang w:val="en-GB" w:eastAsia="pt-BR"/>
        </w:rPr>
        <w:t xml:space="preserve">. </w:t>
      </w:r>
      <w:r w:rsidRPr="001316B0">
        <w:rPr>
          <w:rFonts w:ascii="Arial" w:hAnsi="Arial" w:cs="Arial"/>
          <w:lang w:val="en-GB" w:eastAsia="pt-BR"/>
        </w:rPr>
        <w:t xml:space="preserve">According to </w:t>
      </w:r>
      <w:r w:rsidR="00522C03" w:rsidRPr="001316B0">
        <w:rPr>
          <w:rFonts w:ascii="Arial" w:hAnsi="Arial" w:cs="Arial"/>
          <w:lang w:val="en-GB"/>
        </w:rPr>
        <w:t>MME</w:t>
      </w:r>
      <w:r w:rsidR="003F31E3" w:rsidRPr="001316B0">
        <w:rPr>
          <w:rFonts w:ascii="Arial" w:hAnsi="Arial" w:cs="Arial"/>
          <w:lang w:val="en-GB"/>
        </w:rPr>
        <w:t>/EPE</w:t>
      </w:r>
      <w:r w:rsidR="00522C03" w:rsidRPr="001316B0">
        <w:rPr>
          <w:rFonts w:ascii="Arial" w:hAnsi="Arial" w:cs="Arial"/>
          <w:lang w:val="en-GB"/>
        </w:rPr>
        <w:t xml:space="preserve"> (20</w:t>
      </w:r>
      <w:r w:rsidR="003F31E3" w:rsidRPr="001316B0">
        <w:rPr>
          <w:rFonts w:ascii="Arial" w:hAnsi="Arial" w:cs="Arial"/>
          <w:lang w:val="en-GB"/>
        </w:rPr>
        <w:t>10</w:t>
      </w:r>
      <w:r w:rsidR="00522C03" w:rsidRPr="001316B0">
        <w:rPr>
          <w:rFonts w:ascii="Arial" w:hAnsi="Arial" w:cs="Arial"/>
          <w:lang w:val="en-GB"/>
        </w:rPr>
        <w:t>),</w:t>
      </w:r>
      <w:r w:rsidRPr="001316B0">
        <w:rPr>
          <w:rFonts w:ascii="Arial" w:hAnsi="Arial" w:cs="Arial"/>
          <w:lang w:val="en-GB"/>
        </w:rPr>
        <w:t xml:space="preserve"> the real potential of wind power generation in the country is </w:t>
      </w:r>
      <w:r w:rsidR="00522C03" w:rsidRPr="001316B0">
        <w:rPr>
          <w:rFonts w:ascii="Arial" w:hAnsi="Arial" w:cs="Arial"/>
          <w:lang w:val="en-GB"/>
        </w:rPr>
        <w:t xml:space="preserve">30.000 MW, </w:t>
      </w:r>
      <w:r w:rsidR="00F93750" w:rsidRPr="001316B0">
        <w:rPr>
          <w:rFonts w:ascii="Arial" w:hAnsi="Arial" w:cs="Arial"/>
          <w:lang w:val="en-GB"/>
        </w:rPr>
        <w:t>dis</w:t>
      </w:r>
      <w:r w:rsidR="000827C8" w:rsidRPr="001316B0">
        <w:rPr>
          <w:rFonts w:ascii="Arial" w:hAnsi="Arial" w:cs="Arial"/>
          <w:lang w:val="en-GB"/>
        </w:rPr>
        <w:t xml:space="preserve">regarding </w:t>
      </w:r>
      <w:r w:rsidR="00F93750" w:rsidRPr="001316B0">
        <w:rPr>
          <w:rFonts w:ascii="Arial" w:hAnsi="Arial" w:cs="Arial"/>
          <w:lang w:val="en-GB"/>
        </w:rPr>
        <w:t xml:space="preserve">urban and environmental preservation areas, while potential authorized by </w:t>
      </w:r>
      <w:r w:rsidR="00522C03" w:rsidRPr="001316B0">
        <w:rPr>
          <w:rFonts w:ascii="Arial" w:hAnsi="Arial" w:cs="Arial"/>
          <w:lang w:val="en-GB"/>
        </w:rPr>
        <w:t xml:space="preserve">ANEEL </w:t>
      </w:r>
      <w:r w:rsidR="006F5952" w:rsidRPr="001316B0">
        <w:rPr>
          <w:rFonts w:ascii="Arial" w:hAnsi="Arial" w:cs="Arial"/>
          <w:lang w:val="en-GB"/>
        </w:rPr>
        <w:t xml:space="preserve">(National </w:t>
      </w:r>
      <w:r w:rsidR="00640DA4" w:rsidRPr="001316B0">
        <w:rPr>
          <w:rFonts w:ascii="Arial" w:hAnsi="Arial" w:cs="Arial"/>
          <w:lang w:val="en-GB"/>
        </w:rPr>
        <w:t>Electrical</w:t>
      </w:r>
      <w:r w:rsidR="00A8212B">
        <w:rPr>
          <w:rFonts w:ascii="Arial" w:hAnsi="Arial" w:cs="Arial"/>
          <w:lang w:val="en-GB"/>
        </w:rPr>
        <w:t xml:space="preserve"> Energy Agency) is 5</w:t>
      </w:r>
      <w:r w:rsidR="00522C03" w:rsidRPr="001316B0">
        <w:rPr>
          <w:rFonts w:ascii="Arial" w:hAnsi="Arial" w:cs="Arial"/>
          <w:lang w:val="en-GB"/>
        </w:rPr>
        <w:t xml:space="preserve">848 MW. </w:t>
      </w:r>
      <w:r w:rsidR="006F5952" w:rsidRPr="001316B0">
        <w:rPr>
          <w:rFonts w:ascii="Arial" w:hAnsi="Arial" w:cs="Arial"/>
          <w:lang w:val="en-GB"/>
        </w:rPr>
        <w:t xml:space="preserve">Wind energy enables a balance of energy supply when associated to hydraulic generation, which allows greater availability of accumulated water and optimization of reservoir </w:t>
      </w:r>
      <w:r w:rsidR="00851601" w:rsidRPr="001316B0">
        <w:rPr>
          <w:rFonts w:ascii="Arial" w:hAnsi="Arial" w:cs="Arial"/>
          <w:lang w:val="en-GB"/>
        </w:rPr>
        <w:t>usage</w:t>
      </w:r>
      <w:r w:rsidR="00522C03" w:rsidRPr="001316B0">
        <w:rPr>
          <w:rFonts w:ascii="Arial" w:eastAsia="Calibri" w:hAnsi="Arial" w:cs="Arial"/>
          <w:lang w:val="en-GB" w:eastAsia="pt-BR"/>
        </w:rPr>
        <w:t xml:space="preserve"> </w:t>
      </w:r>
      <w:r w:rsidR="006F5952" w:rsidRPr="001316B0">
        <w:rPr>
          <w:rFonts w:ascii="Arial" w:eastAsia="Calibri" w:hAnsi="Arial" w:cs="Arial"/>
          <w:lang w:val="en-GB" w:eastAsia="pt-BR"/>
        </w:rPr>
        <w:t>and use of this resource during dry seasons and system peak times.</w:t>
      </w:r>
      <w:r w:rsidR="00851601" w:rsidRPr="001316B0">
        <w:rPr>
          <w:rFonts w:ascii="Arial" w:eastAsia="Calibri" w:hAnsi="Arial" w:cs="Arial"/>
          <w:lang w:val="en-GB" w:eastAsia="pt-BR"/>
        </w:rPr>
        <w:t xml:space="preserve"> </w:t>
      </w:r>
      <w:r w:rsidR="0045386E" w:rsidRPr="001316B0">
        <w:rPr>
          <w:rFonts w:ascii="Arial" w:eastAsia="Calibri" w:hAnsi="Arial" w:cs="Arial"/>
          <w:lang w:val="en-GB" w:eastAsia="pt-BR"/>
        </w:rPr>
        <w:t>In spite of the high investment needed for the wind energy sector, i</w:t>
      </w:r>
      <w:r w:rsidR="00466DC0" w:rsidRPr="001316B0">
        <w:rPr>
          <w:rFonts w:ascii="Arial" w:eastAsia="Calibri" w:hAnsi="Arial" w:cs="Arial"/>
          <w:lang w:val="en-GB" w:eastAsia="pt-BR"/>
        </w:rPr>
        <w:t>n financial terms, this source has a tendency to become competitive</w:t>
      </w:r>
      <w:r w:rsidR="0045386E" w:rsidRPr="001316B0">
        <w:rPr>
          <w:rFonts w:ascii="Arial" w:eastAsia="Calibri" w:hAnsi="Arial" w:cs="Arial"/>
          <w:lang w:val="en-GB" w:eastAsia="pt-BR"/>
        </w:rPr>
        <w:t xml:space="preserve"> </w:t>
      </w:r>
      <w:r w:rsidR="00C02E74" w:rsidRPr="001316B0">
        <w:rPr>
          <w:rFonts w:ascii="Arial" w:eastAsia="Calibri" w:hAnsi="Arial" w:cs="Arial"/>
          <w:lang w:val="en-GB" w:eastAsia="pt-BR"/>
        </w:rPr>
        <w:t xml:space="preserve">due to the zero cost of using wind energy compared to the </w:t>
      </w:r>
      <w:r w:rsidR="00732A55" w:rsidRPr="001316B0">
        <w:rPr>
          <w:rFonts w:ascii="Arial" w:eastAsia="Calibri" w:hAnsi="Arial" w:cs="Arial"/>
          <w:lang w:val="en-GB" w:eastAsia="pt-BR"/>
        </w:rPr>
        <w:t xml:space="preserve">accumulated cost of </w:t>
      </w:r>
      <w:r w:rsidR="00C02E74" w:rsidRPr="001316B0">
        <w:rPr>
          <w:rFonts w:ascii="Arial" w:eastAsia="Calibri" w:hAnsi="Arial" w:cs="Arial"/>
          <w:lang w:val="en-GB" w:eastAsia="pt-BR"/>
        </w:rPr>
        <w:t xml:space="preserve">fuel use </w:t>
      </w:r>
      <w:r w:rsidR="00732A55" w:rsidRPr="001316B0">
        <w:rPr>
          <w:rFonts w:ascii="Arial" w:eastAsia="Calibri" w:hAnsi="Arial" w:cs="Arial"/>
          <w:lang w:val="en-GB" w:eastAsia="pt-BR"/>
        </w:rPr>
        <w:t>in thermoelectric plants.</w:t>
      </w:r>
      <w:r w:rsidR="00886B81" w:rsidRPr="001316B0">
        <w:rPr>
          <w:rFonts w:ascii="Arial" w:eastAsia="Calibri" w:hAnsi="Arial" w:cs="Arial"/>
          <w:lang w:val="en-GB" w:eastAsia="pt-BR"/>
        </w:rPr>
        <w:t xml:space="preserve"> </w:t>
      </w:r>
    </w:p>
    <w:p w14:paraId="2B04E9B7" w14:textId="77777777" w:rsidR="00886B81" w:rsidRPr="001316B0" w:rsidRDefault="00382ABA" w:rsidP="002904EE">
      <w:pPr>
        <w:spacing w:after="200" w:line="360" w:lineRule="auto"/>
        <w:jc w:val="both"/>
        <w:rPr>
          <w:rFonts w:ascii="Arial" w:hAnsi="Arial" w:cs="Arial"/>
          <w:lang w:val="en-GB"/>
        </w:rPr>
      </w:pPr>
      <w:r w:rsidRPr="001316B0">
        <w:rPr>
          <w:rFonts w:ascii="Arial" w:hAnsi="Arial" w:cs="Arial"/>
          <w:lang w:val="en-GB"/>
        </w:rPr>
        <w:t xml:space="preserve">The first wind energy auction held in December </w:t>
      </w:r>
      <w:r w:rsidR="00886B81" w:rsidRPr="001316B0">
        <w:rPr>
          <w:rFonts w:ascii="Arial" w:hAnsi="Arial" w:cs="Arial"/>
          <w:lang w:val="en-GB"/>
        </w:rPr>
        <w:t>2009</w:t>
      </w:r>
      <w:r w:rsidRPr="001316B0">
        <w:rPr>
          <w:rFonts w:ascii="Arial" w:hAnsi="Arial" w:cs="Arial"/>
          <w:lang w:val="en-GB"/>
        </w:rPr>
        <w:t xml:space="preserve"> confirms this fact. The auction offered various reductions to </w:t>
      </w:r>
      <w:r w:rsidR="009177F6" w:rsidRPr="001316B0">
        <w:rPr>
          <w:rFonts w:ascii="Arial" w:hAnsi="Arial" w:cs="Arial"/>
          <w:lang w:val="en-GB"/>
        </w:rPr>
        <w:t xml:space="preserve">diminish </w:t>
      </w:r>
      <w:r w:rsidRPr="001316B0">
        <w:rPr>
          <w:rFonts w:ascii="Arial" w:hAnsi="Arial" w:cs="Arial"/>
          <w:lang w:val="en-GB"/>
        </w:rPr>
        <w:t>energy costs</w:t>
      </w:r>
      <w:r w:rsidR="009177F6" w:rsidRPr="001316B0">
        <w:rPr>
          <w:rFonts w:ascii="Arial" w:hAnsi="Arial" w:cs="Arial"/>
          <w:lang w:val="en-GB"/>
        </w:rPr>
        <w:t xml:space="preserve"> (La </w:t>
      </w:r>
      <w:proofErr w:type="spellStart"/>
      <w:r w:rsidR="009177F6" w:rsidRPr="001316B0">
        <w:rPr>
          <w:rFonts w:ascii="Arial" w:hAnsi="Arial" w:cs="Arial"/>
          <w:lang w:val="en-GB"/>
        </w:rPr>
        <w:t>Rovere</w:t>
      </w:r>
      <w:proofErr w:type="spellEnd"/>
      <w:r w:rsidR="009177F6" w:rsidRPr="001316B0">
        <w:rPr>
          <w:rFonts w:ascii="Arial" w:hAnsi="Arial" w:cs="Arial"/>
          <w:lang w:val="en-GB"/>
        </w:rPr>
        <w:t xml:space="preserve"> &amp;</w:t>
      </w:r>
      <w:r w:rsidR="00C677CB" w:rsidRPr="001316B0">
        <w:rPr>
          <w:rFonts w:ascii="Arial" w:hAnsi="Arial" w:cs="Arial"/>
          <w:lang w:val="en-GB"/>
        </w:rPr>
        <w:t xml:space="preserve"> </w:t>
      </w:r>
      <w:proofErr w:type="spellStart"/>
      <w:r w:rsidR="00C677CB" w:rsidRPr="001316B0">
        <w:rPr>
          <w:rFonts w:ascii="Arial" w:hAnsi="Arial" w:cs="Arial"/>
          <w:lang w:val="en-GB"/>
        </w:rPr>
        <w:t>G</w:t>
      </w:r>
      <w:r w:rsidR="005F7DF7">
        <w:rPr>
          <w:rFonts w:ascii="Arial" w:hAnsi="Arial" w:cs="Arial"/>
          <w:lang w:val="en-GB"/>
        </w:rPr>
        <w:t>oodward</w:t>
      </w:r>
      <w:proofErr w:type="spellEnd"/>
      <w:r w:rsidR="005F7DF7">
        <w:rPr>
          <w:rFonts w:ascii="Arial" w:hAnsi="Arial" w:cs="Arial"/>
          <w:lang w:val="en-GB"/>
        </w:rPr>
        <w:t>, 2009) and contracted 1</w:t>
      </w:r>
      <w:r w:rsidR="00886B81" w:rsidRPr="001316B0">
        <w:rPr>
          <w:rFonts w:ascii="Arial" w:hAnsi="Arial" w:cs="Arial"/>
          <w:lang w:val="en-GB"/>
        </w:rPr>
        <w:t xml:space="preserve">805 MW </w:t>
      </w:r>
      <w:r w:rsidR="00C677CB" w:rsidRPr="001316B0">
        <w:rPr>
          <w:rFonts w:ascii="Arial" w:hAnsi="Arial" w:cs="Arial"/>
          <w:lang w:val="en-GB"/>
        </w:rPr>
        <w:t xml:space="preserve">in the </w:t>
      </w:r>
      <w:r w:rsidR="00743DBF">
        <w:rPr>
          <w:rFonts w:ascii="Arial" w:hAnsi="Arial" w:cs="Arial"/>
          <w:lang w:val="en-GB"/>
        </w:rPr>
        <w:t>southern and n</w:t>
      </w:r>
      <w:r w:rsidR="00C677CB" w:rsidRPr="001316B0">
        <w:rPr>
          <w:rFonts w:ascii="Arial" w:hAnsi="Arial" w:cs="Arial"/>
          <w:lang w:val="en-GB"/>
        </w:rPr>
        <w:t xml:space="preserve">orth-eastern regions of the country. A total of 339 projects were authorized resulting in an installed capacity of </w:t>
      </w:r>
      <w:r w:rsidR="00A90DA4">
        <w:rPr>
          <w:rFonts w:ascii="Arial" w:hAnsi="Arial" w:cs="Arial"/>
          <w:lang w:val="en-GB"/>
        </w:rPr>
        <w:t>1</w:t>
      </w:r>
      <w:r w:rsidR="00C677CB" w:rsidRPr="001316B0">
        <w:rPr>
          <w:rFonts w:ascii="Arial" w:hAnsi="Arial" w:cs="Arial"/>
          <w:lang w:val="en-GB"/>
        </w:rPr>
        <w:t>805.</w:t>
      </w:r>
      <w:r w:rsidR="00886B81" w:rsidRPr="001316B0">
        <w:rPr>
          <w:rFonts w:ascii="Arial" w:hAnsi="Arial" w:cs="Arial"/>
          <w:lang w:val="en-GB"/>
        </w:rPr>
        <w:t xml:space="preserve">7 MW </w:t>
      </w:r>
      <w:r w:rsidR="00C677CB" w:rsidRPr="001316B0">
        <w:rPr>
          <w:rFonts w:ascii="Arial" w:hAnsi="Arial" w:cs="Arial"/>
          <w:lang w:val="en-GB"/>
        </w:rPr>
        <w:t xml:space="preserve">corresponding to an average value of </w:t>
      </w:r>
      <w:r w:rsidR="00886B81" w:rsidRPr="001316B0">
        <w:rPr>
          <w:rFonts w:ascii="Arial" w:hAnsi="Arial" w:cs="Arial"/>
          <w:lang w:val="en-GB"/>
        </w:rPr>
        <w:t xml:space="preserve">783 MW. </w:t>
      </w:r>
      <w:r w:rsidR="008457EA" w:rsidRPr="001316B0">
        <w:rPr>
          <w:rFonts w:ascii="Arial" w:hAnsi="Arial" w:cs="Arial"/>
          <w:lang w:val="en-GB"/>
        </w:rPr>
        <w:t>Surprisingly</w:t>
      </w:r>
      <w:r w:rsidR="00775F9F" w:rsidRPr="001316B0">
        <w:rPr>
          <w:rFonts w:ascii="Arial" w:hAnsi="Arial" w:cs="Arial"/>
          <w:lang w:val="en-GB"/>
        </w:rPr>
        <w:t xml:space="preserve">, the average price of </w:t>
      </w:r>
      <w:r w:rsidR="00775F9F" w:rsidRPr="001316B0">
        <w:rPr>
          <w:rFonts w:ascii="Arial" w:hAnsi="Arial" w:cs="Arial"/>
          <w:lang w:val="en-GB"/>
        </w:rPr>
        <w:lastRenderedPageBreak/>
        <w:t>energy was only BRL148.</w:t>
      </w:r>
      <w:r w:rsidR="00886B81" w:rsidRPr="001316B0">
        <w:rPr>
          <w:rFonts w:ascii="Arial" w:hAnsi="Arial" w:cs="Arial"/>
          <w:lang w:val="en-GB"/>
        </w:rPr>
        <w:t xml:space="preserve">39 </w:t>
      </w:r>
      <w:r w:rsidR="00775F9F" w:rsidRPr="001316B0">
        <w:rPr>
          <w:rFonts w:ascii="Arial" w:hAnsi="Arial" w:cs="Arial"/>
          <w:lang w:val="en-GB"/>
        </w:rPr>
        <w:t>per</w:t>
      </w:r>
      <w:r w:rsidR="00886B81" w:rsidRPr="001316B0">
        <w:rPr>
          <w:rFonts w:ascii="Arial" w:hAnsi="Arial" w:cs="Arial"/>
          <w:lang w:val="en-GB"/>
        </w:rPr>
        <w:t xml:space="preserve"> </w:t>
      </w:r>
      <w:proofErr w:type="spellStart"/>
      <w:r w:rsidR="00886B81" w:rsidRPr="001316B0">
        <w:rPr>
          <w:rFonts w:ascii="Arial" w:hAnsi="Arial" w:cs="Arial"/>
          <w:lang w:val="en-GB"/>
        </w:rPr>
        <w:t>MWh</w:t>
      </w:r>
      <w:proofErr w:type="spellEnd"/>
      <w:r w:rsidR="00886B81" w:rsidRPr="001316B0">
        <w:rPr>
          <w:rFonts w:ascii="Arial" w:hAnsi="Arial" w:cs="Arial"/>
          <w:lang w:val="en-GB"/>
        </w:rPr>
        <w:t>,</w:t>
      </w:r>
      <w:r w:rsidR="0070587E" w:rsidRPr="001316B0">
        <w:rPr>
          <w:rFonts w:ascii="Arial" w:hAnsi="Arial" w:cs="Arial"/>
          <w:lang w:val="en-GB"/>
        </w:rPr>
        <w:t xml:space="preserve"> </w:t>
      </w:r>
      <w:r w:rsidR="008457EA" w:rsidRPr="001316B0">
        <w:rPr>
          <w:rFonts w:ascii="Arial" w:hAnsi="Arial" w:cs="Arial"/>
          <w:lang w:val="en-GB"/>
        </w:rPr>
        <w:t xml:space="preserve">representing </w:t>
      </w:r>
      <w:r w:rsidR="004039B7" w:rsidRPr="001316B0">
        <w:rPr>
          <w:rFonts w:ascii="Arial" w:hAnsi="Arial" w:cs="Arial"/>
          <w:lang w:val="en-GB"/>
        </w:rPr>
        <w:t>an average discount of 21.</w:t>
      </w:r>
      <w:r w:rsidR="00886B81" w:rsidRPr="001316B0">
        <w:rPr>
          <w:rFonts w:ascii="Arial" w:hAnsi="Arial" w:cs="Arial"/>
          <w:lang w:val="en-GB"/>
        </w:rPr>
        <w:t>5%</w:t>
      </w:r>
      <w:r w:rsidR="008457EA" w:rsidRPr="001316B0">
        <w:rPr>
          <w:rFonts w:ascii="Arial" w:hAnsi="Arial" w:cs="Arial"/>
          <w:lang w:val="en-GB"/>
        </w:rPr>
        <w:t>, which specialists of the sector consider to be a huge success</w:t>
      </w:r>
      <w:r w:rsidR="00886B81" w:rsidRPr="001316B0">
        <w:rPr>
          <w:rFonts w:ascii="Arial" w:hAnsi="Arial" w:cs="Arial"/>
          <w:lang w:val="en-GB"/>
        </w:rPr>
        <w:t xml:space="preserve"> </w:t>
      </w:r>
      <w:r w:rsidR="003C5B4B" w:rsidRPr="001316B0">
        <w:rPr>
          <w:rFonts w:ascii="Arial" w:hAnsi="Arial" w:cs="Arial"/>
          <w:lang w:val="en-GB"/>
        </w:rPr>
        <w:t>(Westin et al, 2010)</w:t>
      </w:r>
      <w:r w:rsidR="00886B81" w:rsidRPr="001316B0">
        <w:rPr>
          <w:rFonts w:ascii="Arial" w:hAnsi="Arial" w:cs="Arial"/>
          <w:lang w:val="en-GB"/>
        </w:rPr>
        <w:t xml:space="preserve">. </w:t>
      </w:r>
      <w:r w:rsidR="002C5FB8" w:rsidRPr="001316B0">
        <w:rPr>
          <w:rFonts w:ascii="Arial" w:hAnsi="Arial" w:cs="Arial"/>
          <w:lang w:val="en-GB"/>
        </w:rPr>
        <w:t xml:space="preserve">Consequently, wind energy </w:t>
      </w:r>
      <w:r w:rsidR="00AA6A49" w:rsidRPr="001316B0">
        <w:rPr>
          <w:rFonts w:ascii="Arial" w:hAnsi="Arial" w:cs="Arial"/>
          <w:lang w:val="en-GB"/>
        </w:rPr>
        <w:t>compete</w:t>
      </w:r>
      <w:r w:rsidR="00660723" w:rsidRPr="001316B0">
        <w:rPr>
          <w:rFonts w:ascii="Arial" w:hAnsi="Arial" w:cs="Arial"/>
          <w:lang w:val="en-GB"/>
        </w:rPr>
        <w:t>s</w:t>
      </w:r>
      <w:r w:rsidR="00AA6A49" w:rsidRPr="001316B0">
        <w:rPr>
          <w:rFonts w:ascii="Arial" w:hAnsi="Arial" w:cs="Arial"/>
          <w:lang w:val="en-GB"/>
        </w:rPr>
        <w:t xml:space="preserve"> at equal prices to thermal energy in the country</w:t>
      </w:r>
      <w:r w:rsidR="00886B81" w:rsidRPr="001316B0">
        <w:rPr>
          <w:rFonts w:ascii="Arial" w:hAnsi="Arial" w:cs="Arial"/>
          <w:lang w:val="en-GB"/>
        </w:rPr>
        <w:t>. MME/EPE</w:t>
      </w:r>
      <w:r w:rsidR="003C5B4B" w:rsidRPr="001316B0">
        <w:rPr>
          <w:rFonts w:ascii="Arial" w:hAnsi="Arial" w:cs="Arial"/>
          <w:lang w:val="en-GB"/>
        </w:rPr>
        <w:t xml:space="preserve"> </w:t>
      </w:r>
      <w:r w:rsidR="00886B81" w:rsidRPr="001316B0">
        <w:rPr>
          <w:rFonts w:ascii="Arial" w:hAnsi="Arial" w:cs="Arial"/>
          <w:lang w:val="en-GB"/>
        </w:rPr>
        <w:t>(20</w:t>
      </w:r>
      <w:r w:rsidR="003217FC" w:rsidRPr="001316B0">
        <w:rPr>
          <w:rFonts w:ascii="Arial" w:hAnsi="Arial" w:cs="Arial"/>
          <w:lang w:val="en-GB"/>
        </w:rPr>
        <w:t xml:space="preserve">10) </w:t>
      </w:r>
      <w:r w:rsidR="00660723" w:rsidRPr="001316B0">
        <w:rPr>
          <w:rFonts w:ascii="Arial" w:hAnsi="Arial" w:cs="Arial"/>
          <w:lang w:val="en-GB"/>
        </w:rPr>
        <w:t xml:space="preserve">estimates that short-term growth for wind energy will </w:t>
      </w:r>
      <w:r w:rsidR="00AC05B4" w:rsidRPr="001316B0">
        <w:rPr>
          <w:rFonts w:ascii="Arial" w:hAnsi="Arial" w:cs="Arial"/>
          <w:lang w:val="en-GB"/>
        </w:rPr>
        <w:t xml:space="preserve">rise </w:t>
      </w:r>
      <w:r w:rsidR="00660723" w:rsidRPr="001316B0">
        <w:rPr>
          <w:rFonts w:ascii="Arial" w:hAnsi="Arial" w:cs="Arial"/>
          <w:lang w:val="en-GB"/>
        </w:rPr>
        <w:t xml:space="preserve">from 800 MW of installed capacity in </w:t>
      </w:r>
      <w:r w:rsidR="00886B81" w:rsidRPr="001316B0">
        <w:rPr>
          <w:rFonts w:ascii="Arial" w:hAnsi="Arial" w:cs="Arial"/>
          <w:lang w:val="en-GB"/>
        </w:rPr>
        <w:t>2010</w:t>
      </w:r>
      <w:r w:rsidR="00660723" w:rsidRPr="001316B0">
        <w:rPr>
          <w:rFonts w:ascii="Arial" w:hAnsi="Arial" w:cs="Arial"/>
          <w:lang w:val="en-GB"/>
        </w:rPr>
        <w:t xml:space="preserve"> to </w:t>
      </w:r>
      <w:r w:rsidR="00886B81" w:rsidRPr="001316B0">
        <w:rPr>
          <w:rFonts w:ascii="Arial" w:hAnsi="Arial" w:cs="Arial"/>
          <w:lang w:val="en-GB"/>
        </w:rPr>
        <w:t xml:space="preserve">6 </w:t>
      </w:r>
      <w:r w:rsidR="00660723" w:rsidRPr="001316B0">
        <w:rPr>
          <w:rFonts w:ascii="Arial" w:hAnsi="Arial" w:cs="Arial"/>
          <w:lang w:val="en-GB"/>
        </w:rPr>
        <w:t xml:space="preserve">thousand MW in </w:t>
      </w:r>
      <w:r w:rsidR="00886B81" w:rsidRPr="001316B0">
        <w:rPr>
          <w:rFonts w:ascii="Arial" w:hAnsi="Arial" w:cs="Arial"/>
          <w:lang w:val="en-GB"/>
        </w:rPr>
        <w:t xml:space="preserve">2019, </w:t>
      </w:r>
      <w:r w:rsidR="00583F2A">
        <w:rPr>
          <w:rFonts w:ascii="Arial" w:hAnsi="Arial" w:cs="Arial"/>
          <w:lang w:val="en-GB"/>
        </w:rPr>
        <w:t xml:space="preserve">especially in the </w:t>
      </w:r>
      <w:proofErr w:type="gramStart"/>
      <w:r w:rsidR="00583F2A">
        <w:rPr>
          <w:rFonts w:ascii="Arial" w:hAnsi="Arial" w:cs="Arial"/>
          <w:lang w:val="en-GB"/>
        </w:rPr>
        <w:t>n</w:t>
      </w:r>
      <w:r w:rsidR="00660723" w:rsidRPr="001316B0">
        <w:rPr>
          <w:rFonts w:ascii="Arial" w:hAnsi="Arial" w:cs="Arial"/>
          <w:lang w:val="en-GB"/>
        </w:rPr>
        <w:t>orth-</w:t>
      </w:r>
      <w:r w:rsidR="003B3D96" w:rsidRPr="001316B0">
        <w:rPr>
          <w:rFonts w:ascii="Arial" w:hAnsi="Arial" w:cs="Arial"/>
          <w:lang w:val="en-GB"/>
        </w:rPr>
        <w:t>eastern</w:t>
      </w:r>
      <w:proofErr w:type="gramEnd"/>
      <w:r w:rsidR="00583F2A">
        <w:rPr>
          <w:rFonts w:ascii="Arial" w:hAnsi="Arial" w:cs="Arial"/>
          <w:lang w:val="en-GB"/>
        </w:rPr>
        <w:t xml:space="preserve"> and s</w:t>
      </w:r>
      <w:r w:rsidR="00660723" w:rsidRPr="001316B0">
        <w:rPr>
          <w:rFonts w:ascii="Arial" w:hAnsi="Arial" w:cs="Arial"/>
          <w:lang w:val="en-GB"/>
        </w:rPr>
        <w:t>outhern regions</w:t>
      </w:r>
      <w:r w:rsidR="00C135E3" w:rsidRPr="001316B0">
        <w:rPr>
          <w:rFonts w:ascii="Arial" w:hAnsi="Arial" w:cs="Arial"/>
          <w:lang w:val="en-GB"/>
        </w:rPr>
        <w:t xml:space="preserve"> that </w:t>
      </w:r>
      <w:r w:rsidR="00660723" w:rsidRPr="001316B0">
        <w:rPr>
          <w:rFonts w:ascii="Arial" w:hAnsi="Arial" w:cs="Arial"/>
          <w:lang w:val="en-GB"/>
        </w:rPr>
        <w:t>have the greatest potential for wind generation.</w:t>
      </w:r>
    </w:p>
    <w:p w14:paraId="7686EE9D" w14:textId="77777777" w:rsidR="00E16183" w:rsidRPr="001316B0" w:rsidRDefault="00E16183" w:rsidP="002904EE">
      <w:pPr>
        <w:autoSpaceDE w:val="0"/>
        <w:autoSpaceDN w:val="0"/>
        <w:adjustRightInd w:val="0"/>
        <w:spacing w:line="360" w:lineRule="auto"/>
        <w:jc w:val="both"/>
        <w:rPr>
          <w:rFonts w:ascii="Arial" w:hAnsi="Arial" w:cs="Arial"/>
          <w:b/>
          <w:lang w:val="en-GB"/>
        </w:rPr>
      </w:pPr>
    </w:p>
    <w:p w14:paraId="317CF4C6" w14:textId="77777777" w:rsidR="00522C03" w:rsidRPr="001316B0" w:rsidRDefault="003B3D96" w:rsidP="002904EE">
      <w:pPr>
        <w:autoSpaceDE w:val="0"/>
        <w:autoSpaceDN w:val="0"/>
        <w:adjustRightInd w:val="0"/>
        <w:spacing w:line="360" w:lineRule="auto"/>
        <w:jc w:val="both"/>
        <w:rPr>
          <w:rFonts w:ascii="Arial" w:hAnsi="Arial" w:cs="Arial"/>
          <w:b/>
          <w:lang w:val="en-GB"/>
        </w:rPr>
      </w:pPr>
      <w:r w:rsidRPr="001316B0">
        <w:rPr>
          <w:rFonts w:ascii="Arial" w:hAnsi="Arial" w:cs="Arial"/>
          <w:b/>
          <w:lang w:val="en-GB"/>
        </w:rPr>
        <w:t>Nuclear Energy</w:t>
      </w:r>
    </w:p>
    <w:p w14:paraId="21C70D99" w14:textId="77777777" w:rsidR="00373208" w:rsidRPr="001316B0" w:rsidRDefault="00122CA9"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 xml:space="preserve">Brazil has 2 PWR (Pressurized Water Reactor) in operation in </w:t>
      </w:r>
      <w:proofErr w:type="spellStart"/>
      <w:r w:rsidR="003A5E3D" w:rsidRPr="001316B0">
        <w:rPr>
          <w:rFonts w:ascii="Arial" w:hAnsi="Arial" w:cs="Arial"/>
          <w:lang w:val="en-GB" w:eastAsia="pt-BR"/>
        </w:rPr>
        <w:t>Angra</w:t>
      </w:r>
      <w:proofErr w:type="spellEnd"/>
      <w:r w:rsidR="003A5E3D" w:rsidRPr="001316B0">
        <w:rPr>
          <w:rFonts w:ascii="Arial" w:hAnsi="Arial" w:cs="Arial"/>
          <w:lang w:val="en-GB" w:eastAsia="pt-BR"/>
        </w:rPr>
        <w:t xml:space="preserve"> dos Reis: </w:t>
      </w:r>
      <w:proofErr w:type="spellStart"/>
      <w:r w:rsidR="003A5E3D" w:rsidRPr="001316B0">
        <w:rPr>
          <w:rFonts w:ascii="Arial" w:hAnsi="Arial" w:cs="Arial"/>
          <w:lang w:val="en-GB" w:eastAsia="pt-BR"/>
        </w:rPr>
        <w:t>Angra</w:t>
      </w:r>
      <w:proofErr w:type="spellEnd"/>
      <w:r w:rsidR="003A5E3D" w:rsidRPr="001316B0">
        <w:rPr>
          <w:rFonts w:ascii="Arial" w:hAnsi="Arial" w:cs="Arial"/>
          <w:lang w:val="en-GB" w:eastAsia="pt-BR"/>
        </w:rPr>
        <w:t xml:space="preserve"> I (626 MW), </w:t>
      </w:r>
      <w:r w:rsidRPr="001316B0">
        <w:rPr>
          <w:rFonts w:ascii="Arial" w:hAnsi="Arial" w:cs="Arial"/>
          <w:lang w:val="en-GB" w:eastAsia="pt-BR"/>
        </w:rPr>
        <w:t xml:space="preserve">imported </w:t>
      </w:r>
      <w:r w:rsidR="003A5E3D" w:rsidRPr="001316B0">
        <w:rPr>
          <w:rFonts w:ascii="Arial" w:hAnsi="Arial" w:cs="Arial"/>
          <w:lang w:val="en-GB" w:eastAsia="pt-BR"/>
        </w:rPr>
        <w:t>turn-key</w:t>
      </w:r>
      <w:r w:rsidRPr="001316B0">
        <w:rPr>
          <w:rFonts w:ascii="Arial" w:hAnsi="Arial" w:cs="Arial"/>
          <w:lang w:val="en-GB" w:eastAsia="pt-BR"/>
        </w:rPr>
        <w:t xml:space="preserve"> constructed by </w:t>
      </w:r>
      <w:r w:rsidR="0007575C" w:rsidRPr="001316B0">
        <w:rPr>
          <w:rFonts w:ascii="Arial" w:hAnsi="Arial" w:cs="Arial"/>
          <w:lang w:val="en-GB" w:eastAsia="pt-BR"/>
        </w:rPr>
        <w:t>Westinghouse</w:t>
      </w:r>
      <w:r w:rsidRPr="001316B0">
        <w:rPr>
          <w:rFonts w:ascii="Arial" w:hAnsi="Arial" w:cs="Arial"/>
          <w:lang w:val="en-GB" w:eastAsia="pt-BR"/>
        </w:rPr>
        <w:t xml:space="preserve"> and</w:t>
      </w:r>
      <w:r w:rsidR="003A5E3D" w:rsidRPr="001316B0">
        <w:rPr>
          <w:rFonts w:ascii="Arial" w:hAnsi="Arial" w:cs="Arial"/>
          <w:lang w:val="en-GB" w:eastAsia="pt-BR"/>
        </w:rPr>
        <w:t xml:space="preserve"> </w:t>
      </w:r>
      <w:proofErr w:type="spellStart"/>
      <w:r w:rsidR="003A5E3D" w:rsidRPr="001316B0">
        <w:rPr>
          <w:rFonts w:ascii="Arial" w:hAnsi="Arial" w:cs="Arial"/>
          <w:lang w:val="en-GB" w:eastAsia="pt-BR"/>
        </w:rPr>
        <w:t>Angra</w:t>
      </w:r>
      <w:proofErr w:type="spellEnd"/>
      <w:r w:rsidR="003A5E3D" w:rsidRPr="001316B0">
        <w:rPr>
          <w:rFonts w:ascii="Arial" w:hAnsi="Arial" w:cs="Arial"/>
          <w:lang w:val="en-GB" w:eastAsia="pt-BR"/>
        </w:rPr>
        <w:t xml:space="preserve"> 2 (1245 MW), </w:t>
      </w:r>
      <w:r w:rsidRPr="001316B0">
        <w:rPr>
          <w:rFonts w:ascii="Arial" w:hAnsi="Arial" w:cs="Arial"/>
          <w:lang w:val="en-GB" w:eastAsia="pt-BR"/>
        </w:rPr>
        <w:t>the first reactor built under the Brazil-Germany agreement</w:t>
      </w:r>
      <w:r w:rsidR="003A5E3D" w:rsidRPr="001316B0">
        <w:rPr>
          <w:rFonts w:ascii="Arial" w:hAnsi="Arial" w:cs="Arial"/>
          <w:lang w:val="en-GB" w:eastAsia="pt-BR"/>
        </w:rPr>
        <w:t xml:space="preserve">. </w:t>
      </w:r>
      <w:r w:rsidRPr="001316B0">
        <w:rPr>
          <w:rFonts w:ascii="Arial" w:hAnsi="Arial" w:cs="Arial"/>
          <w:lang w:val="en-GB" w:eastAsia="pt-BR"/>
        </w:rPr>
        <w:t>Today, nuclear energy supplies only 1.</w:t>
      </w:r>
      <w:r w:rsidR="003A5E3D" w:rsidRPr="001316B0">
        <w:rPr>
          <w:rFonts w:ascii="Arial" w:hAnsi="Arial" w:cs="Arial"/>
          <w:lang w:val="en-GB" w:eastAsia="pt-BR"/>
        </w:rPr>
        <w:t xml:space="preserve">5 % </w:t>
      </w:r>
      <w:r w:rsidRPr="001316B0">
        <w:rPr>
          <w:rFonts w:ascii="Arial" w:hAnsi="Arial" w:cs="Arial"/>
          <w:lang w:val="en-GB" w:eastAsia="pt-BR"/>
        </w:rPr>
        <w:t>of electrical energy consumed in the country</w:t>
      </w:r>
      <w:r w:rsidR="003A5E3D" w:rsidRPr="001316B0">
        <w:rPr>
          <w:rFonts w:ascii="Arial" w:hAnsi="Arial" w:cs="Arial"/>
          <w:lang w:val="en-GB" w:eastAsia="pt-BR"/>
        </w:rPr>
        <w:t xml:space="preserve">. </w:t>
      </w:r>
      <w:r w:rsidR="000517A8" w:rsidRPr="001316B0">
        <w:rPr>
          <w:rFonts w:ascii="Arial" w:hAnsi="Arial" w:cs="Arial"/>
          <w:lang w:val="en-GB" w:eastAsia="pt-BR"/>
        </w:rPr>
        <w:t xml:space="preserve">In 2010, the construction of the </w:t>
      </w:r>
      <w:proofErr w:type="spellStart"/>
      <w:r w:rsidR="000517A8" w:rsidRPr="001316B0">
        <w:rPr>
          <w:rFonts w:ascii="Arial" w:hAnsi="Arial" w:cs="Arial"/>
          <w:lang w:val="en-GB" w:eastAsia="pt-BR"/>
        </w:rPr>
        <w:t>Angra</w:t>
      </w:r>
      <w:proofErr w:type="spellEnd"/>
      <w:r w:rsidR="000517A8" w:rsidRPr="001316B0">
        <w:rPr>
          <w:rFonts w:ascii="Arial" w:hAnsi="Arial" w:cs="Arial"/>
          <w:lang w:val="en-GB" w:eastAsia="pt-BR"/>
        </w:rPr>
        <w:t xml:space="preserve"> 3 </w:t>
      </w:r>
      <w:r w:rsidR="003A5E3D" w:rsidRPr="001316B0">
        <w:rPr>
          <w:rFonts w:ascii="Arial" w:hAnsi="Arial" w:cs="Arial"/>
          <w:lang w:val="en-GB" w:eastAsia="pt-BR"/>
        </w:rPr>
        <w:t xml:space="preserve">(1245 MW) </w:t>
      </w:r>
      <w:r w:rsidR="000517A8" w:rsidRPr="001316B0">
        <w:rPr>
          <w:rFonts w:ascii="Arial" w:hAnsi="Arial" w:cs="Arial"/>
          <w:lang w:val="en-GB" w:eastAsia="pt-BR"/>
        </w:rPr>
        <w:t xml:space="preserve">reactor was resumed and another </w:t>
      </w:r>
      <w:r w:rsidR="003A5E3D" w:rsidRPr="001316B0">
        <w:rPr>
          <w:rFonts w:ascii="Arial" w:hAnsi="Arial" w:cs="Arial"/>
          <w:lang w:val="en-GB" w:eastAsia="pt-BR"/>
        </w:rPr>
        <w:t xml:space="preserve">4 </w:t>
      </w:r>
      <w:r w:rsidR="000517A8" w:rsidRPr="001316B0">
        <w:rPr>
          <w:rFonts w:ascii="Arial" w:hAnsi="Arial" w:cs="Arial"/>
          <w:lang w:val="en-GB" w:eastAsia="pt-BR"/>
        </w:rPr>
        <w:t xml:space="preserve">reactors of </w:t>
      </w:r>
      <w:r w:rsidR="003A5E3D" w:rsidRPr="001316B0">
        <w:rPr>
          <w:rFonts w:ascii="Arial" w:hAnsi="Arial" w:cs="Arial"/>
          <w:lang w:val="en-GB" w:eastAsia="pt-BR"/>
        </w:rPr>
        <w:t>100</w:t>
      </w:r>
      <w:r w:rsidR="00713FC5" w:rsidRPr="001316B0">
        <w:rPr>
          <w:rFonts w:ascii="Arial" w:hAnsi="Arial" w:cs="Arial"/>
          <w:lang w:val="en-GB" w:eastAsia="pt-BR"/>
        </w:rPr>
        <w:t>0</w:t>
      </w:r>
      <w:r w:rsidR="003A5E3D" w:rsidRPr="001316B0">
        <w:rPr>
          <w:rFonts w:ascii="Arial" w:hAnsi="Arial" w:cs="Arial"/>
          <w:lang w:val="en-GB" w:eastAsia="pt-BR"/>
        </w:rPr>
        <w:t xml:space="preserve"> MW </w:t>
      </w:r>
      <w:r w:rsidR="000517A8" w:rsidRPr="001316B0">
        <w:rPr>
          <w:rFonts w:ascii="Arial" w:hAnsi="Arial" w:cs="Arial"/>
          <w:lang w:val="en-GB" w:eastAsia="pt-BR"/>
        </w:rPr>
        <w:t xml:space="preserve">are foreseen for construction by </w:t>
      </w:r>
      <w:r w:rsidR="003A5E3D" w:rsidRPr="001316B0">
        <w:rPr>
          <w:rFonts w:ascii="Arial" w:hAnsi="Arial" w:cs="Arial"/>
          <w:lang w:val="en-GB" w:eastAsia="pt-BR"/>
        </w:rPr>
        <w:t xml:space="preserve">2030 (MME/EPE, 2010). </w:t>
      </w:r>
      <w:r w:rsidR="000517A8" w:rsidRPr="001316B0">
        <w:rPr>
          <w:rFonts w:ascii="Arial" w:hAnsi="Arial" w:cs="Arial"/>
          <w:lang w:val="en-GB" w:eastAsia="pt-BR"/>
        </w:rPr>
        <w:t xml:space="preserve">The recent incident in the reactors of </w:t>
      </w:r>
      <w:r w:rsidR="003A5E3D" w:rsidRPr="001316B0">
        <w:rPr>
          <w:rFonts w:ascii="Arial" w:hAnsi="Arial" w:cs="Arial"/>
          <w:lang w:val="en-GB" w:eastAsia="pt-BR"/>
        </w:rPr>
        <w:t xml:space="preserve">Fukushima, </w:t>
      </w:r>
      <w:r w:rsidR="000517A8" w:rsidRPr="001316B0">
        <w:rPr>
          <w:rFonts w:ascii="Arial" w:hAnsi="Arial" w:cs="Arial"/>
          <w:lang w:val="en-GB" w:eastAsia="pt-BR"/>
        </w:rPr>
        <w:t>in Japan, however, may lead to a reversion of that plan</w:t>
      </w:r>
      <w:r w:rsidR="003A5E3D" w:rsidRPr="001316B0">
        <w:rPr>
          <w:rFonts w:ascii="Arial" w:hAnsi="Arial" w:cs="Arial"/>
          <w:lang w:val="en-GB" w:eastAsia="pt-BR"/>
        </w:rPr>
        <w:t xml:space="preserve">. </w:t>
      </w:r>
      <w:r w:rsidR="005F6D20" w:rsidRPr="001316B0">
        <w:rPr>
          <w:rFonts w:ascii="Arial" w:hAnsi="Arial" w:cs="Arial"/>
          <w:lang w:val="en-GB" w:eastAsia="pt-BR"/>
        </w:rPr>
        <w:t xml:space="preserve">Fuel irradiated from the reactors remains in the pools of </w:t>
      </w:r>
      <w:proofErr w:type="spellStart"/>
      <w:r w:rsidR="005F6D20" w:rsidRPr="001316B0">
        <w:rPr>
          <w:rFonts w:ascii="Arial" w:hAnsi="Arial" w:cs="Arial"/>
          <w:lang w:val="en-GB" w:eastAsia="pt-BR"/>
        </w:rPr>
        <w:t>Angra</w:t>
      </w:r>
      <w:proofErr w:type="spellEnd"/>
      <w:r w:rsidR="00FF12DC" w:rsidRPr="001316B0">
        <w:rPr>
          <w:rFonts w:ascii="Arial" w:hAnsi="Arial" w:cs="Arial"/>
          <w:lang w:val="en-GB" w:eastAsia="pt-BR"/>
        </w:rPr>
        <w:t xml:space="preserve"> while the location for </w:t>
      </w:r>
      <w:r w:rsidR="005F6D20" w:rsidRPr="001316B0">
        <w:rPr>
          <w:rFonts w:ascii="Arial" w:hAnsi="Arial" w:cs="Arial"/>
          <w:lang w:val="en-GB" w:eastAsia="pt-BR"/>
        </w:rPr>
        <w:t xml:space="preserve">final deposit of highly radioactive waste has not yet been </w:t>
      </w:r>
      <w:r w:rsidR="00E02830" w:rsidRPr="001316B0">
        <w:rPr>
          <w:rFonts w:ascii="Arial" w:hAnsi="Arial" w:cs="Arial"/>
          <w:lang w:val="en-GB" w:eastAsia="pt-BR"/>
        </w:rPr>
        <w:t>decided</w:t>
      </w:r>
      <w:r w:rsidR="005F6D20" w:rsidRPr="001316B0">
        <w:rPr>
          <w:rFonts w:ascii="Arial" w:hAnsi="Arial" w:cs="Arial"/>
          <w:lang w:val="en-GB" w:eastAsia="pt-BR"/>
        </w:rPr>
        <w:t>.</w:t>
      </w:r>
      <w:r w:rsidR="005E78CC" w:rsidRPr="001316B0">
        <w:rPr>
          <w:rFonts w:ascii="Arial" w:hAnsi="Arial" w:cs="Arial"/>
          <w:lang w:val="en-GB" w:eastAsia="pt-BR"/>
        </w:rPr>
        <w:t xml:space="preserve"> In spite of the huge reserves of available uranium (see Chart 3), </w:t>
      </w:r>
      <w:r w:rsidR="007A601C" w:rsidRPr="001316B0">
        <w:rPr>
          <w:rFonts w:ascii="Arial" w:hAnsi="Arial" w:cs="Arial"/>
          <w:lang w:val="en-GB" w:eastAsia="pt-BR"/>
        </w:rPr>
        <w:t xml:space="preserve">the future of nuclear energy in Brazil is </w:t>
      </w:r>
      <w:r w:rsidR="005E78CC" w:rsidRPr="001316B0">
        <w:rPr>
          <w:rFonts w:ascii="Arial" w:hAnsi="Arial" w:cs="Arial"/>
          <w:lang w:val="en-GB" w:eastAsia="pt-BR"/>
        </w:rPr>
        <w:t>uncertain due to usage safety concerns and, mainly, high cost of generation in comparison with  important and available renewable resources for the generation of electricity</w:t>
      </w:r>
      <w:r w:rsidR="00713FC5" w:rsidRPr="001316B0">
        <w:rPr>
          <w:rFonts w:ascii="Arial" w:hAnsi="Arial" w:cs="Arial"/>
          <w:lang w:val="en-GB" w:eastAsia="pt-BR"/>
        </w:rPr>
        <w:t xml:space="preserve"> (</w:t>
      </w:r>
      <w:r w:rsidR="005E78CC" w:rsidRPr="001316B0">
        <w:rPr>
          <w:rFonts w:ascii="Arial" w:hAnsi="Arial" w:cs="Arial"/>
          <w:lang w:val="en-GB" w:eastAsia="pt-BR"/>
        </w:rPr>
        <w:t>hydroelectricity, sugarcane bagasse and wind energy</w:t>
      </w:r>
      <w:r w:rsidR="00713FC5" w:rsidRPr="001316B0">
        <w:rPr>
          <w:rFonts w:ascii="Arial" w:hAnsi="Arial" w:cs="Arial"/>
          <w:lang w:val="en-GB" w:eastAsia="pt-BR"/>
        </w:rPr>
        <w:t>)</w:t>
      </w:r>
    </w:p>
    <w:p w14:paraId="6C616CDD" w14:textId="77777777" w:rsidR="003A5E3D" w:rsidRPr="001316B0" w:rsidRDefault="003A5E3D"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p>
    <w:p w14:paraId="709A42A8" w14:textId="77777777" w:rsidR="00E60A94" w:rsidRPr="001316B0" w:rsidRDefault="00E60A94"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p>
    <w:p w14:paraId="68FC2848" w14:textId="77777777" w:rsidR="00522C03" w:rsidRPr="001316B0" w:rsidRDefault="002834DE"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r w:rsidRPr="001316B0">
        <w:rPr>
          <w:rFonts w:ascii="Arial" w:hAnsi="Arial" w:cs="Arial"/>
          <w:b/>
          <w:lang w:val="en-GB" w:eastAsia="pt-BR"/>
        </w:rPr>
        <w:t>Other Alternative Energy Sources</w:t>
      </w:r>
    </w:p>
    <w:p w14:paraId="2CA238BC" w14:textId="77777777" w:rsidR="002D55B1" w:rsidRPr="001316B0" w:rsidRDefault="00BF1E00"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 xml:space="preserve">Some studies have been conducted in Brazil about other alternative energetic in order to accompany the state of the art in an international </w:t>
      </w:r>
      <w:r w:rsidR="000A36D9" w:rsidRPr="001316B0">
        <w:rPr>
          <w:rFonts w:ascii="Arial" w:hAnsi="Arial" w:cs="Arial"/>
          <w:lang w:val="en-GB" w:eastAsia="pt-BR"/>
        </w:rPr>
        <w:t>perspective</w:t>
      </w:r>
      <w:r w:rsidRPr="001316B0">
        <w:rPr>
          <w:rFonts w:ascii="Arial" w:hAnsi="Arial" w:cs="Arial"/>
          <w:lang w:val="en-GB" w:eastAsia="pt-BR"/>
        </w:rPr>
        <w:t>.</w:t>
      </w:r>
      <w:r w:rsidR="002D55B1" w:rsidRPr="001316B0">
        <w:rPr>
          <w:rFonts w:ascii="Arial" w:hAnsi="Arial" w:cs="Arial"/>
          <w:lang w:val="en-GB" w:eastAsia="pt-BR"/>
        </w:rPr>
        <w:t xml:space="preserve"> </w:t>
      </w:r>
    </w:p>
    <w:p w14:paraId="66675152" w14:textId="77777777" w:rsidR="002D55B1" w:rsidRPr="001316B0" w:rsidRDefault="000A36D9"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en-GB" w:eastAsia="pt-BR"/>
        </w:rPr>
      </w:pPr>
      <w:r w:rsidRPr="001316B0">
        <w:rPr>
          <w:rFonts w:ascii="Arial" w:hAnsi="Arial" w:cs="Arial"/>
          <w:lang w:val="en-GB" w:eastAsia="pt-BR"/>
        </w:rPr>
        <w:t xml:space="preserve">Among the most promising, with </w:t>
      </w:r>
      <w:r w:rsidR="00760343">
        <w:rPr>
          <w:rFonts w:ascii="Arial" w:hAnsi="Arial" w:cs="Arial"/>
          <w:lang w:val="en-GB" w:eastAsia="pt-BR"/>
        </w:rPr>
        <w:t xml:space="preserve">ongoing </w:t>
      </w:r>
      <w:r w:rsidRPr="001316B0">
        <w:rPr>
          <w:rFonts w:ascii="Arial" w:hAnsi="Arial" w:cs="Arial"/>
          <w:lang w:val="en-GB" w:eastAsia="pt-BR"/>
        </w:rPr>
        <w:t>demonstration projects, are fuel cells that allow the use of hydrogen as an energy vector in bus engines, for example, and use of energy from waves</w:t>
      </w:r>
      <w:r w:rsidR="00713FC5" w:rsidRPr="001316B0">
        <w:rPr>
          <w:rFonts w:ascii="Arial" w:hAnsi="Arial" w:cs="Arial"/>
          <w:lang w:val="en-GB" w:eastAsia="pt-BR"/>
        </w:rPr>
        <w:t xml:space="preserve">. </w:t>
      </w:r>
      <w:r w:rsidR="00370EA2" w:rsidRPr="001316B0">
        <w:rPr>
          <w:rFonts w:ascii="Arial" w:hAnsi="Arial" w:cs="Arial"/>
          <w:lang w:val="en-GB" w:eastAsia="pt-BR"/>
        </w:rPr>
        <w:t xml:space="preserve">Options that are currently at research and development stages include optimization of current coal combustion, gasification and </w:t>
      </w:r>
      <w:r w:rsidR="00197218" w:rsidRPr="001316B0">
        <w:rPr>
          <w:rFonts w:ascii="Arial" w:hAnsi="Arial" w:cs="Arial"/>
          <w:lang w:val="en-GB" w:eastAsia="pt-BR"/>
        </w:rPr>
        <w:t>liquefaction t</w:t>
      </w:r>
      <w:r w:rsidR="00370EA2" w:rsidRPr="001316B0">
        <w:rPr>
          <w:rFonts w:ascii="Arial" w:hAnsi="Arial" w:cs="Arial"/>
          <w:lang w:val="en-GB" w:eastAsia="pt-BR"/>
        </w:rPr>
        <w:t xml:space="preserve">echnologies, intrinsically safe nuclear reactors, nuclear fusion and the use of various </w:t>
      </w:r>
      <w:r w:rsidR="00370EA2" w:rsidRPr="001316B0">
        <w:rPr>
          <w:rFonts w:ascii="Arial" w:hAnsi="Arial" w:cs="Arial"/>
          <w:lang w:val="en-GB" w:eastAsia="pt-BR"/>
        </w:rPr>
        <w:lastRenderedPageBreak/>
        <w:t>oceanic energy forms: tides, current, salinity gradient and thermal gradient between the surface and bottom of the sea.</w:t>
      </w:r>
      <w:r w:rsidR="002D55B1" w:rsidRPr="001316B0">
        <w:rPr>
          <w:rFonts w:ascii="Arial" w:hAnsi="Arial" w:cs="Arial"/>
          <w:lang w:val="en-GB" w:eastAsia="pt-BR"/>
        </w:rPr>
        <w:t xml:space="preserve"> </w:t>
      </w:r>
    </w:p>
    <w:p w14:paraId="24A7AC81" w14:textId="77777777" w:rsidR="002D55B1" w:rsidRPr="001316B0" w:rsidRDefault="00720A2D" w:rsidP="002904EE">
      <w:pPr>
        <w:spacing w:line="360" w:lineRule="auto"/>
        <w:jc w:val="both"/>
        <w:rPr>
          <w:rFonts w:ascii="Arial" w:hAnsi="Arial" w:cs="Arial"/>
          <w:lang w:val="en-GB" w:eastAsia="pt-BR"/>
        </w:rPr>
      </w:pPr>
      <w:r w:rsidRPr="001316B0">
        <w:rPr>
          <w:rFonts w:ascii="Arial" w:hAnsi="Arial" w:cs="Arial"/>
          <w:lang w:val="en-GB" w:eastAsia="pt-BR"/>
        </w:rPr>
        <w:t xml:space="preserve">In the long term, some applications of these </w:t>
      </w:r>
      <w:r w:rsidR="00B931CB">
        <w:rPr>
          <w:rFonts w:ascii="Arial" w:hAnsi="Arial" w:cs="Arial"/>
          <w:lang w:val="en-GB" w:eastAsia="pt-BR"/>
        </w:rPr>
        <w:t>t</w:t>
      </w:r>
      <w:r w:rsidRPr="001316B0">
        <w:rPr>
          <w:rFonts w:ascii="Arial" w:hAnsi="Arial" w:cs="Arial"/>
          <w:lang w:val="en-GB" w:eastAsia="pt-BR"/>
        </w:rPr>
        <w:t xml:space="preserve">echnologies could be </w:t>
      </w:r>
      <w:r w:rsidR="00197218" w:rsidRPr="001316B0">
        <w:rPr>
          <w:rFonts w:ascii="Arial" w:hAnsi="Arial" w:cs="Arial"/>
          <w:lang w:val="en-GB" w:eastAsia="pt-BR"/>
        </w:rPr>
        <w:t>promising</w:t>
      </w:r>
      <w:r w:rsidR="002D55B1" w:rsidRPr="001316B0">
        <w:rPr>
          <w:rFonts w:ascii="Arial" w:hAnsi="Arial" w:cs="Arial"/>
          <w:lang w:val="en-GB" w:eastAsia="pt-BR"/>
        </w:rPr>
        <w:t xml:space="preserve">. </w:t>
      </w:r>
      <w:r w:rsidRPr="001316B0">
        <w:rPr>
          <w:rFonts w:ascii="Arial" w:hAnsi="Arial" w:cs="Arial"/>
          <w:lang w:val="en-GB" w:eastAsia="pt-BR"/>
        </w:rPr>
        <w:t xml:space="preserve">However, the scale of scientific-technological efforts in the energy field should be extended in order to </w:t>
      </w:r>
      <w:r w:rsidR="00B931CB" w:rsidRPr="001316B0">
        <w:rPr>
          <w:rFonts w:ascii="Arial" w:hAnsi="Arial" w:cs="Arial"/>
          <w:lang w:val="en-GB" w:eastAsia="pt-BR"/>
        </w:rPr>
        <w:t>valorise</w:t>
      </w:r>
      <w:r w:rsidRPr="001316B0">
        <w:rPr>
          <w:rFonts w:ascii="Arial" w:hAnsi="Arial" w:cs="Arial"/>
          <w:lang w:val="en-GB" w:eastAsia="pt-BR"/>
        </w:rPr>
        <w:t xml:space="preserve"> these opportunities</w:t>
      </w:r>
      <w:r w:rsidR="006B2201" w:rsidRPr="001316B0">
        <w:rPr>
          <w:rFonts w:ascii="Arial" w:hAnsi="Arial" w:cs="Arial"/>
          <w:lang w:val="en-GB" w:eastAsia="pt-BR"/>
        </w:rPr>
        <w:t xml:space="preserve">. </w:t>
      </w:r>
      <w:r w:rsidRPr="001316B0">
        <w:rPr>
          <w:rFonts w:ascii="Arial" w:hAnsi="Arial" w:cs="Arial"/>
          <w:lang w:val="en-GB" w:eastAsia="pt-BR"/>
        </w:rPr>
        <w:t>Adequate institutional support and allocation of financial resources at levels that are compatible with the potentialities are therefore essential.</w:t>
      </w:r>
    </w:p>
    <w:p w14:paraId="4F91920D" w14:textId="77777777" w:rsidR="00E60A94" w:rsidRPr="001316B0" w:rsidRDefault="00E60A94" w:rsidP="002904EE">
      <w:pPr>
        <w:tabs>
          <w:tab w:val="decimal" w:pos="3024"/>
          <w:tab w:val="decimal" w:pos="4032"/>
          <w:tab w:val="decimal" w:pos="5040"/>
          <w:tab w:val="decimal" w:pos="5904"/>
          <w:tab w:val="decimal" w:pos="7056"/>
          <w:tab w:val="center" w:pos="8064"/>
        </w:tabs>
        <w:spacing w:line="360" w:lineRule="auto"/>
        <w:rPr>
          <w:rFonts w:ascii="Calibri" w:hAnsi="Calibri" w:cs="Arial"/>
          <w:b/>
          <w:color w:val="FF0000"/>
          <w:sz w:val="22"/>
          <w:szCs w:val="22"/>
          <w:lang w:val="en-GB" w:eastAsia="pt-BR"/>
        </w:rPr>
      </w:pPr>
    </w:p>
    <w:p w14:paraId="1E9CD79D" w14:textId="77777777" w:rsidR="003254BC" w:rsidRPr="001316B0" w:rsidRDefault="00B26195" w:rsidP="002904EE">
      <w:pPr>
        <w:tabs>
          <w:tab w:val="decimal" w:pos="3024"/>
          <w:tab w:val="decimal" w:pos="4032"/>
          <w:tab w:val="decimal" w:pos="5040"/>
          <w:tab w:val="decimal" w:pos="5904"/>
          <w:tab w:val="decimal" w:pos="7056"/>
          <w:tab w:val="center" w:pos="8064"/>
        </w:tabs>
        <w:spacing w:line="360" w:lineRule="auto"/>
        <w:rPr>
          <w:rFonts w:ascii="Arial" w:hAnsi="Arial" w:cs="Arial"/>
          <w:lang w:val="en-GB" w:eastAsia="pt-BR"/>
        </w:rPr>
      </w:pPr>
      <w:r w:rsidRPr="001316B0">
        <w:rPr>
          <w:rFonts w:ascii="Arial" w:hAnsi="Arial" w:cs="Arial"/>
          <w:b/>
          <w:lang w:val="en-GB" w:eastAsia="pt-BR"/>
        </w:rPr>
        <w:t>Challenges of Climate Change Mitigation</w:t>
      </w:r>
    </w:p>
    <w:p w14:paraId="0208622E" w14:textId="77777777" w:rsidR="003C5B4B" w:rsidRPr="001316B0" w:rsidRDefault="003B7556" w:rsidP="002904EE">
      <w:pPr>
        <w:spacing w:line="360" w:lineRule="auto"/>
        <w:jc w:val="both"/>
        <w:rPr>
          <w:rFonts w:ascii="Arial" w:hAnsi="Arial" w:cs="Arial"/>
          <w:lang w:val="en-GB"/>
        </w:rPr>
      </w:pPr>
      <w:r w:rsidRPr="001316B0">
        <w:rPr>
          <w:rFonts w:ascii="Arial" w:hAnsi="Arial" w:cs="Arial"/>
          <w:lang w:val="en-GB"/>
        </w:rPr>
        <w:t xml:space="preserve">The main objective of the </w:t>
      </w:r>
      <w:r w:rsidR="00306539" w:rsidRPr="001316B0">
        <w:rPr>
          <w:rFonts w:ascii="Arial" w:hAnsi="Arial" w:cs="Arial"/>
          <w:lang w:val="en-GB"/>
        </w:rPr>
        <w:t xml:space="preserve">Convention on Climate Change </w:t>
      </w:r>
      <w:r w:rsidRPr="001316B0">
        <w:rPr>
          <w:rFonts w:ascii="Arial" w:hAnsi="Arial" w:cs="Arial"/>
          <w:lang w:val="en-GB"/>
        </w:rPr>
        <w:t xml:space="preserve">is to </w:t>
      </w:r>
      <w:r w:rsidR="00306539" w:rsidRPr="001316B0">
        <w:rPr>
          <w:rFonts w:ascii="Arial" w:hAnsi="Arial" w:cs="Arial"/>
          <w:lang w:val="en-GB"/>
        </w:rPr>
        <w:t>stabilize</w:t>
      </w:r>
      <w:r w:rsidRPr="001316B0">
        <w:rPr>
          <w:rFonts w:ascii="Arial" w:hAnsi="Arial" w:cs="Arial"/>
          <w:lang w:val="en-GB"/>
        </w:rPr>
        <w:t xml:space="preserve"> the concentration of greenhouse gases (GHG) in the atmosphere </w:t>
      </w:r>
      <w:r w:rsidR="00194FF3">
        <w:rPr>
          <w:rFonts w:ascii="Arial" w:hAnsi="Arial" w:cs="Arial"/>
          <w:lang w:val="en-GB"/>
        </w:rPr>
        <w:t xml:space="preserve">to </w:t>
      </w:r>
      <w:r w:rsidRPr="001316B0">
        <w:rPr>
          <w:rFonts w:ascii="Arial" w:hAnsi="Arial" w:cs="Arial"/>
          <w:lang w:val="en-GB"/>
        </w:rPr>
        <w:t>a safe level</w:t>
      </w:r>
      <w:r w:rsidR="00194FF3">
        <w:rPr>
          <w:rFonts w:ascii="Arial" w:hAnsi="Arial" w:cs="Arial"/>
          <w:lang w:val="en-GB"/>
        </w:rPr>
        <w:t xml:space="preserve"> that does not </w:t>
      </w:r>
      <w:r w:rsidRPr="001316B0">
        <w:rPr>
          <w:rFonts w:ascii="Arial" w:hAnsi="Arial" w:cs="Arial"/>
          <w:lang w:val="en-GB"/>
        </w:rPr>
        <w:t>compromise food safety and allows natural adaptation of ecosystems within a sustainable development model.</w:t>
      </w:r>
    </w:p>
    <w:p w14:paraId="16AB1E69" w14:textId="77777777" w:rsidR="00537398" w:rsidRPr="001316B0" w:rsidRDefault="00E444EF" w:rsidP="002904EE">
      <w:pPr>
        <w:spacing w:line="360" w:lineRule="auto"/>
        <w:jc w:val="both"/>
        <w:rPr>
          <w:rFonts w:ascii="Arial" w:hAnsi="Arial" w:cs="Arial"/>
          <w:lang w:val="en-GB"/>
        </w:rPr>
      </w:pPr>
      <w:r w:rsidRPr="001316B0">
        <w:rPr>
          <w:rFonts w:ascii="Arial" w:hAnsi="Arial" w:cs="Arial"/>
          <w:lang w:val="en-GB"/>
        </w:rPr>
        <w:t>The more ambitious the goal to limit global warming, the sooner global emissions will start to decline and the greater the costs of emission mitigation</w:t>
      </w:r>
      <w:r w:rsidR="00753BBE" w:rsidRPr="001316B0">
        <w:rPr>
          <w:rFonts w:ascii="Arial" w:hAnsi="Arial" w:cs="Arial"/>
          <w:lang w:val="en-GB"/>
        </w:rPr>
        <w:t xml:space="preserve">. </w:t>
      </w:r>
      <w:r w:rsidR="00803E21" w:rsidRPr="001316B0">
        <w:rPr>
          <w:rFonts w:ascii="Arial" w:hAnsi="Arial" w:cs="Arial"/>
          <w:lang w:val="en-GB"/>
        </w:rPr>
        <w:t xml:space="preserve">The short-term solution to this problem, however, would demand </w:t>
      </w:r>
      <w:r w:rsidR="00D531FB" w:rsidRPr="001316B0">
        <w:rPr>
          <w:rFonts w:ascii="Arial" w:hAnsi="Arial" w:cs="Arial"/>
          <w:lang w:val="en-GB"/>
        </w:rPr>
        <w:t xml:space="preserve">investments that are </w:t>
      </w:r>
      <w:r w:rsidR="00803E21" w:rsidRPr="001316B0">
        <w:rPr>
          <w:rFonts w:ascii="Arial" w:hAnsi="Arial" w:cs="Arial"/>
          <w:lang w:val="en-GB"/>
        </w:rPr>
        <w:t>unfeasible for the global economy.</w:t>
      </w:r>
      <w:r w:rsidR="00D531FB" w:rsidRPr="001316B0">
        <w:rPr>
          <w:rFonts w:ascii="Arial" w:hAnsi="Arial" w:cs="Arial"/>
          <w:lang w:val="en-GB"/>
        </w:rPr>
        <w:t xml:space="preserve"> Consequently, the scenarios of GHG stabilization consider the hypothesis that initially allow an increase of global emissions at decreasing rates until the year they reach a peak and gradually drop until they maintain a level of between 10% and</w:t>
      </w:r>
      <w:r w:rsidR="00537398" w:rsidRPr="001316B0">
        <w:rPr>
          <w:rFonts w:ascii="Arial" w:hAnsi="Arial" w:cs="Arial"/>
          <w:lang w:val="en-GB"/>
        </w:rPr>
        <w:t xml:space="preserve"> 20% </w:t>
      </w:r>
      <w:r w:rsidR="00D531FB" w:rsidRPr="001316B0">
        <w:rPr>
          <w:rFonts w:ascii="Arial" w:hAnsi="Arial" w:cs="Arial"/>
          <w:lang w:val="en-GB"/>
        </w:rPr>
        <w:t>of current emissions</w:t>
      </w:r>
      <w:r w:rsidR="00537398" w:rsidRPr="001316B0">
        <w:rPr>
          <w:rFonts w:ascii="Arial" w:hAnsi="Arial" w:cs="Arial"/>
          <w:lang w:val="en-GB"/>
        </w:rPr>
        <w:t xml:space="preserve">. </w:t>
      </w:r>
      <w:r w:rsidR="00980D90" w:rsidRPr="001316B0">
        <w:rPr>
          <w:rFonts w:ascii="Arial" w:hAnsi="Arial" w:cs="Arial"/>
          <w:lang w:val="en-GB"/>
        </w:rPr>
        <w:t>This is a possible path for the GHG emissions curve, by means of an adjustment of the global economy, for a period that allows the progressive introduction of clean technology at a cost that is still considered reasonable.</w:t>
      </w:r>
      <w:r w:rsidR="0044798F" w:rsidRPr="001316B0">
        <w:rPr>
          <w:rFonts w:ascii="Arial" w:hAnsi="Arial" w:cs="Arial"/>
          <w:lang w:val="en-GB"/>
        </w:rPr>
        <w:t xml:space="preserve"> Similarly, the more aggressive the goal of global warming limitation, the sooner global emissions must decline and the greater the costs of this mitigation</w:t>
      </w:r>
      <w:r w:rsidR="00537398" w:rsidRPr="001316B0">
        <w:rPr>
          <w:rFonts w:ascii="Arial" w:hAnsi="Arial" w:cs="Arial"/>
          <w:lang w:val="en-GB"/>
        </w:rPr>
        <w:t xml:space="preserve"> (La </w:t>
      </w:r>
      <w:proofErr w:type="spellStart"/>
      <w:r w:rsidR="00537398" w:rsidRPr="001316B0">
        <w:rPr>
          <w:rFonts w:ascii="Arial" w:hAnsi="Arial" w:cs="Arial"/>
          <w:lang w:val="en-GB"/>
        </w:rPr>
        <w:t>Rovere</w:t>
      </w:r>
      <w:proofErr w:type="spellEnd"/>
      <w:r w:rsidR="00537398" w:rsidRPr="001316B0">
        <w:rPr>
          <w:rFonts w:ascii="Arial" w:hAnsi="Arial" w:cs="Arial"/>
          <w:lang w:val="en-GB"/>
        </w:rPr>
        <w:t>, 2009).</w:t>
      </w:r>
    </w:p>
    <w:p w14:paraId="3DBA4F41" w14:textId="77777777" w:rsidR="00A14913" w:rsidRPr="001316B0" w:rsidRDefault="008E4CE6" w:rsidP="002904EE">
      <w:pPr>
        <w:spacing w:line="360" w:lineRule="auto"/>
        <w:jc w:val="both"/>
        <w:rPr>
          <w:rFonts w:ascii="Arial" w:hAnsi="Arial" w:cs="Arial"/>
          <w:lang w:val="en-GB" w:eastAsia="pt-BR"/>
        </w:rPr>
      </w:pPr>
      <w:r w:rsidRPr="001316B0">
        <w:rPr>
          <w:rFonts w:ascii="Arial" w:hAnsi="Arial" w:cs="Arial"/>
          <w:lang w:val="en-GB"/>
        </w:rPr>
        <w:t>Brazil has made efforts to limit its greenhouse gas emissions</w:t>
      </w:r>
      <w:r w:rsidR="00537398" w:rsidRPr="001316B0">
        <w:rPr>
          <w:rFonts w:ascii="Arial" w:hAnsi="Arial" w:cs="Arial"/>
          <w:lang w:val="en-GB"/>
        </w:rPr>
        <w:t>.</w:t>
      </w:r>
      <w:r w:rsidR="00537398" w:rsidRPr="001316B0">
        <w:rPr>
          <w:rFonts w:ascii="Arial" w:hAnsi="Arial" w:cs="Arial"/>
          <w:b/>
          <w:lang w:val="en-GB"/>
        </w:rPr>
        <w:t xml:space="preserve"> </w:t>
      </w:r>
      <w:r w:rsidR="004B6E09" w:rsidRPr="001316B0">
        <w:rPr>
          <w:rFonts w:ascii="Arial" w:hAnsi="Arial" w:cs="Arial"/>
          <w:lang w:val="en-GB"/>
        </w:rPr>
        <w:t>The considerable reduction of emissions from deforestation in the Amazon</w:t>
      </w:r>
      <w:r w:rsidR="00537398" w:rsidRPr="001316B0">
        <w:rPr>
          <w:rFonts w:ascii="Arial" w:hAnsi="Arial" w:cs="Arial"/>
          <w:lang w:val="en-GB"/>
        </w:rPr>
        <w:t xml:space="preserve"> </w:t>
      </w:r>
      <w:r w:rsidR="004B6E09" w:rsidRPr="001316B0">
        <w:rPr>
          <w:rFonts w:ascii="Arial" w:hAnsi="Arial" w:cs="Arial"/>
          <w:lang w:val="en-GB"/>
        </w:rPr>
        <w:t xml:space="preserve">in the past year is the main contribution in this direction, considering that deforestation is the predominant source of total GHG emissions in the country, as shown in Chart </w:t>
      </w:r>
      <w:r w:rsidR="00A14913" w:rsidRPr="001316B0">
        <w:rPr>
          <w:rFonts w:ascii="Arial" w:hAnsi="Arial" w:cs="Arial"/>
          <w:lang w:val="en-GB"/>
        </w:rPr>
        <w:t>4</w:t>
      </w:r>
      <w:r w:rsidR="00537398" w:rsidRPr="001316B0">
        <w:rPr>
          <w:rFonts w:ascii="Arial" w:hAnsi="Arial" w:cs="Arial"/>
          <w:lang w:val="en-GB"/>
        </w:rPr>
        <w:t>.</w:t>
      </w:r>
      <w:r w:rsidR="00D5207E" w:rsidRPr="001316B0">
        <w:rPr>
          <w:rFonts w:ascii="Arial" w:hAnsi="Arial" w:cs="Arial"/>
          <w:lang w:val="en-GB"/>
        </w:rPr>
        <w:t xml:space="preserve"> </w:t>
      </w:r>
      <w:r w:rsidR="00756905" w:rsidRPr="001316B0">
        <w:rPr>
          <w:rFonts w:ascii="Arial" w:hAnsi="Arial" w:cs="Arial"/>
          <w:lang w:val="en-GB"/>
        </w:rPr>
        <w:t>In the future, the National Climate Change Plan (</w:t>
      </w:r>
      <w:r w:rsidR="00D5207E" w:rsidRPr="001316B0">
        <w:rPr>
          <w:rFonts w:ascii="Arial" w:hAnsi="Arial" w:cs="Arial"/>
          <w:i/>
          <w:color w:val="000000"/>
          <w:lang w:val="en-GB"/>
        </w:rPr>
        <w:t xml:space="preserve">Plano </w:t>
      </w:r>
      <w:proofErr w:type="spellStart"/>
      <w:r w:rsidR="00D5207E" w:rsidRPr="001316B0">
        <w:rPr>
          <w:rFonts w:ascii="Arial" w:hAnsi="Arial" w:cs="Arial"/>
          <w:i/>
          <w:color w:val="000000"/>
          <w:lang w:val="en-GB"/>
        </w:rPr>
        <w:t>Nacional</w:t>
      </w:r>
      <w:proofErr w:type="spellEnd"/>
      <w:r w:rsidR="00D5207E" w:rsidRPr="001316B0">
        <w:rPr>
          <w:rFonts w:ascii="Arial" w:hAnsi="Arial" w:cs="Arial"/>
          <w:i/>
          <w:color w:val="000000"/>
          <w:lang w:val="en-GB"/>
        </w:rPr>
        <w:t xml:space="preserve"> de </w:t>
      </w:r>
      <w:proofErr w:type="spellStart"/>
      <w:r w:rsidR="00D5207E" w:rsidRPr="001316B0">
        <w:rPr>
          <w:rFonts w:ascii="Arial" w:hAnsi="Arial" w:cs="Arial"/>
          <w:i/>
          <w:color w:val="000000"/>
          <w:lang w:val="en-GB"/>
        </w:rPr>
        <w:t>Mudanças</w:t>
      </w:r>
      <w:proofErr w:type="spellEnd"/>
      <w:r w:rsidR="00D5207E" w:rsidRPr="001316B0">
        <w:rPr>
          <w:rFonts w:ascii="Arial" w:hAnsi="Arial" w:cs="Arial"/>
          <w:i/>
          <w:color w:val="000000"/>
          <w:lang w:val="en-GB"/>
        </w:rPr>
        <w:t xml:space="preserve"> </w:t>
      </w:r>
      <w:proofErr w:type="spellStart"/>
      <w:r w:rsidR="00D5207E" w:rsidRPr="001316B0">
        <w:rPr>
          <w:rFonts w:ascii="Arial" w:hAnsi="Arial" w:cs="Arial"/>
          <w:i/>
          <w:color w:val="000000"/>
          <w:lang w:val="en-GB"/>
        </w:rPr>
        <w:t>Climáticas</w:t>
      </w:r>
      <w:proofErr w:type="spellEnd"/>
      <w:r w:rsidR="00756905" w:rsidRPr="001316B0">
        <w:rPr>
          <w:rFonts w:ascii="Arial" w:hAnsi="Arial" w:cs="Arial"/>
          <w:color w:val="000000"/>
          <w:lang w:val="en-GB"/>
        </w:rPr>
        <w:t xml:space="preserve"> – PNMC) established a goal of drastic reduction of deforestation in the Amazon; after recent revision, the fixed objective corresponds to the ambitious goal of eliminating 80% of average deforestation </w:t>
      </w:r>
      <w:r w:rsidR="00756905" w:rsidRPr="001316B0">
        <w:rPr>
          <w:rFonts w:ascii="Arial" w:hAnsi="Arial" w:cs="Arial"/>
          <w:color w:val="000000"/>
          <w:lang w:val="en-GB"/>
        </w:rPr>
        <w:lastRenderedPageBreak/>
        <w:t>in the Amazon by 2020, which was 19,500 km</w:t>
      </w:r>
      <w:r w:rsidR="00756905" w:rsidRPr="001316B0">
        <w:rPr>
          <w:rFonts w:ascii="Arial" w:hAnsi="Arial" w:cs="Arial"/>
          <w:color w:val="000000"/>
          <w:vertAlign w:val="superscript"/>
          <w:lang w:val="en-GB"/>
        </w:rPr>
        <w:t>2</w:t>
      </w:r>
      <w:r w:rsidR="00756905" w:rsidRPr="001316B0">
        <w:rPr>
          <w:rFonts w:ascii="Arial" w:hAnsi="Arial" w:cs="Arial"/>
          <w:color w:val="000000"/>
          <w:lang w:val="en-GB"/>
        </w:rPr>
        <w:t xml:space="preserve"> per year between 1996 and 2005.</w:t>
      </w:r>
      <w:r w:rsidR="00D5207E" w:rsidRPr="001316B0">
        <w:rPr>
          <w:rFonts w:ascii="Arial" w:hAnsi="Arial" w:cs="Arial"/>
          <w:color w:val="000000"/>
          <w:lang w:val="en-GB"/>
        </w:rPr>
        <w:t xml:space="preserve"> </w:t>
      </w:r>
      <w:r w:rsidR="00ED6DAF" w:rsidRPr="001316B0">
        <w:rPr>
          <w:rFonts w:ascii="Arial" w:hAnsi="Arial" w:cs="Arial"/>
          <w:color w:val="000000"/>
          <w:lang w:val="en-GB"/>
        </w:rPr>
        <w:t xml:space="preserve">However, results of the past years show that this goal is feasible if the government takes the necessary measures to control use of land in the Amazon. In fact, after continued growth until 2004, when it reached </w:t>
      </w:r>
      <w:r w:rsidR="00ED6DAF" w:rsidRPr="001316B0">
        <w:rPr>
          <w:rFonts w:ascii="Arial" w:hAnsi="Arial" w:cs="Arial"/>
          <w:lang w:val="en-GB" w:eastAsia="pt-BR"/>
        </w:rPr>
        <w:t>27,</w:t>
      </w:r>
      <w:r w:rsidR="00DC24C7" w:rsidRPr="001316B0">
        <w:rPr>
          <w:rFonts w:ascii="Arial" w:hAnsi="Arial" w:cs="Arial"/>
          <w:lang w:val="en-GB" w:eastAsia="pt-BR"/>
        </w:rPr>
        <w:t xml:space="preserve"> </w:t>
      </w:r>
      <w:r w:rsidR="00A14913" w:rsidRPr="001316B0">
        <w:rPr>
          <w:rFonts w:ascii="Arial" w:hAnsi="Arial" w:cs="Arial"/>
          <w:lang w:val="en-GB" w:eastAsia="pt-BR"/>
        </w:rPr>
        <w:t xml:space="preserve">400 </w:t>
      </w:r>
      <w:r w:rsidR="00C83E9C" w:rsidRPr="001316B0">
        <w:rPr>
          <w:rFonts w:ascii="Arial" w:hAnsi="Arial" w:cs="Arial"/>
          <w:lang w:val="en-GB" w:eastAsia="pt-BR"/>
        </w:rPr>
        <w:t xml:space="preserve">km² / </w:t>
      </w:r>
      <w:r w:rsidR="00ED6DAF" w:rsidRPr="001316B0">
        <w:rPr>
          <w:rFonts w:ascii="Arial" w:hAnsi="Arial" w:cs="Arial"/>
          <w:lang w:val="en-GB" w:eastAsia="pt-BR"/>
        </w:rPr>
        <w:t>year</w:t>
      </w:r>
      <w:r w:rsidR="00A14913" w:rsidRPr="001316B0">
        <w:rPr>
          <w:rFonts w:ascii="Arial" w:hAnsi="Arial" w:cs="Arial"/>
          <w:lang w:val="en-GB" w:eastAsia="pt-BR"/>
        </w:rPr>
        <w:t>,</w:t>
      </w:r>
      <w:r w:rsidR="00345557" w:rsidRPr="001316B0">
        <w:rPr>
          <w:rFonts w:ascii="Arial" w:hAnsi="Arial" w:cs="Arial"/>
          <w:lang w:val="en-GB" w:eastAsia="pt-BR"/>
        </w:rPr>
        <w:t xml:space="preserve"> deforestation in the Amazon started to decline. In 2007, it was </w:t>
      </w:r>
      <w:r w:rsidR="00A14913" w:rsidRPr="00442C40">
        <w:rPr>
          <w:rFonts w:ascii="Arial" w:hAnsi="Arial" w:cs="Arial"/>
          <w:color w:val="000000" w:themeColor="text1"/>
          <w:lang w:val="en-GB" w:eastAsia="pt-BR"/>
        </w:rPr>
        <w:t>11</w:t>
      </w:r>
      <w:r w:rsidR="00753BBE" w:rsidRPr="00442C40">
        <w:rPr>
          <w:rFonts w:ascii="Arial" w:hAnsi="Arial" w:cs="Arial"/>
          <w:color w:val="000000" w:themeColor="text1"/>
          <w:lang w:val="en-GB" w:eastAsia="pt-BR"/>
        </w:rPr>
        <w:t xml:space="preserve">, </w:t>
      </w:r>
      <w:r w:rsidR="00A14913" w:rsidRPr="00442C40">
        <w:rPr>
          <w:rFonts w:ascii="Arial" w:hAnsi="Arial" w:cs="Arial"/>
          <w:color w:val="000000" w:themeColor="text1"/>
          <w:lang w:val="en-GB" w:eastAsia="pt-BR"/>
        </w:rPr>
        <w:t xml:space="preserve">500 km² </w:t>
      </w:r>
      <w:r w:rsidR="00C83E9C" w:rsidRPr="00442C40">
        <w:rPr>
          <w:rFonts w:ascii="Arial" w:hAnsi="Arial" w:cs="Arial"/>
          <w:color w:val="000000" w:themeColor="text1"/>
          <w:lang w:val="en-GB" w:eastAsia="pt-BR"/>
        </w:rPr>
        <w:t>/</w:t>
      </w:r>
      <w:r w:rsidR="009E7926" w:rsidRPr="00442C40">
        <w:rPr>
          <w:rFonts w:ascii="Arial" w:hAnsi="Arial" w:cs="Arial"/>
          <w:color w:val="000000" w:themeColor="text1"/>
          <w:lang w:val="en-GB" w:eastAsia="pt-BR"/>
        </w:rPr>
        <w:t xml:space="preserve"> </w:t>
      </w:r>
      <w:r w:rsidR="00345557" w:rsidRPr="00442C40">
        <w:rPr>
          <w:rFonts w:ascii="Arial" w:hAnsi="Arial" w:cs="Arial"/>
          <w:color w:val="000000" w:themeColor="text1"/>
          <w:lang w:val="en-GB" w:eastAsia="pt-BR"/>
        </w:rPr>
        <w:t xml:space="preserve">year, which led to a reduction of emissions of </w:t>
      </w:r>
      <w:r w:rsidR="00A14913" w:rsidRPr="00442C40">
        <w:rPr>
          <w:rFonts w:ascii="Arial" w:hAnsi="Arial" w:cs="Arial"/>
          <w:color w:val="000000" w:themeColor="text1"/>
          <w:lang w:val="en-GB" w:eastAsia="pt-BR"/>
        </w:rPr>
        <w:t>500 MtCO</w:t>
      </w:r>
      <w:r w:rsidR="00A14913" w:rsidRPr="00442C40">
        <w:rPr>
          <w:rFonts w:ascii="Arial" w:eastAsia="Calibri" w:hAnsi="Arial" w:cs="Arial"/>
          <w:color w:val="000000" w:themeColor="text1"/>
          <w:vertAlign w:val="subscript"/>
          <w:lang w:val="en-GB"/>
        </w:rPr>
        <w:t xml:space="preserve">2 </w:t>
      </w:r>
      <w:r w:rsidR="00C83E9C" w:rsidRPr="00442C40">
        <w:rPr>
          <w:rFonts w:ascii="Arial" w:hAnsi="Arial" w:cs="Arial"/>
          <w:color w:val="000000" w:themeColor="text1"/>
          <w:lang w:val="en-GB" w:eastAsia="pt-BR"/>
        </w:rPr>
        <w:t xml:space="preserve">/ </w:t>
      </w:r>
      <w:r w:rsidR="00345557" w:rsidRPr="00442C40">
        <w:rPr>
          <w:rFonts w:ascii="Arial" w:hAnsi="Arial" w:cs="Arial"/>
          <w:color w:val="000000" w:themeColor="text1"/>
          <w:lang w:val="en-GB" w:eastAsia="pt-BR"/>
        </w:rPr>
        <w:t>year between 2005 and</w:t>
      </w:r>
      <w:r w:rsidR="00A14913" w:rsidRPr="00442C40">
        <w:rPr>
          <w:rFonts w:ascii="Arial" w:hAnsi="Arial" w:cs="Arial"/>
          <w:color w:val="000000" w:themeColor="text1"/>
          <w:lang w:val="en-GB" w:eastAsia="pt-BR"/>
        </w:rPr>
        <w:t xml:space="preserve"> 2007. </w:t>
      </w:r>
      <w:r w:rsidR="001C4F84" w:rsidRPr="00442C40">
        <w:rPr>
          <w:rFonts w:ascii="Arial" w:hAnsi="Arial" w:cs="Arial"/>
          <w:color w:val="000000" w:themeColor="text1"/>
          <w:lang w:val="en-GB" w:eastAsia="pt-BR"/>
        </w:rPr>
        <w:t>After</w:t>
      </w:r>
      <w:r w:rsidR="001C4F84" w:rsidRPr="001316B0">
        <w:rPr>
          <w:rFonts w:ascii="Arial" w:hAnsi="Arial" w:cs="Arial"/>
          <w:lang w:val="en-GB" w:eastAsia="pt-BR"/>
        </w:rPr>
        <w:t xml:space="preserve"> rising to </w:t>
      </w:r>
      <w:r w:rsidR="00C83E9C" w:rsidRPr="001316B0">
        <w:rPr>
          <w:rFonts w:ascii="Arial" w:hAnsi="Arial" w:cs="Arial"/>
          <w:lang w:val="en-GB" w:eastAsia="pt-BR"/>
        </w:rPr>
        <w:t xml:space="preserve">12,900 km² </w:t>
      </w:r>
      <w:r w:rsidR="001C4F84" w:rsidRPr="001316B0">
        <w:rPr>
          <w:rFonts w:ascii="Arial" w:hAnsi="Arial" w:cs="Arial"/>
          <w:lang w:val="en-GB" w:eastAsia="pt-BR"/>
        </w:rPr>
        <w:t>in</w:t>
      </w:r>
      <w:r w:rsidR="00A14913" w:rsidRPr="001316B0">
        <w:rPr>
          <w:rFonts w:ascii="Arial" w:hAnsi="Arial" w:cs="Arial"/>
          <w:lang w:val="en-GB" w:eastAsia="pt-BR"/>
        </w:rPr>
        <w:t xml:space="preserve"> 2008, </w:t>
      </w:r>
      <w:r w:rsidR="001C4F84" w:rsidRPr="001316B0">
        <w:rPr>
          <w:rFonts w:ascii="Arial" w:hAnsi="Arial" w:cs="Arial"/>
          <w:lang w:val="en-GB" w:eastAsia="pt-BR"/>
        </w:rPr>
        <w:t xml:space="preserve">the </w:t>
      </w:r>
      <w:r w:rsidR="000D049E" w:rsidRPr="001316B0">
        <w:rPr>
          <w:rFonts w:ascii="Arial" w:hAnsi="Arial" w:cs="Arial"/>
          <w:lang w:val="en-GB" w:eastAsia="pt-BR"/>
        </w:rPr>
        <w:t>tendency to decline continued</w:t>
      </w:r>
      <w:r w:rsidR="001C4F84" w:rsidRPr="001316B0">
        <w:rPr>
          <w:rFonts w:ascii="Arial" w:hAnsi="Arial" w:cs="Arial"/>
          <w:lang w:val="en-GB" w:eastAsia="pt-BR"/>
        </w:rPr>
        <w:t xml:space="preserve">, with </w:t>
      </w:r>
      <w:r w:rsidR="00586648" w:rsidRPr="001316B0">
        <w:rPr>
          <w:rFonts w:ascii="Arial" w:hAnsi="Arial" w:cs="Arial"/>
          <w:lang w:val="en-GB" w:eastAsia="pt-BR"/>
        </w:rPr>
        <w:t>7,</w:t>
      </w:r>
      <w:r w:rsidR="00A14913" w:rsidRPr="001316B0">
        <w:rPr>
          <w:rFonts w:ascii="Arial" w:hAnsi="Arial" w:cs="Arial"/>
          <w:lang w:val="en-GB" w:eastAsia="pt-BR"/>
        </w:rPr>
        <w:t>500 k</w:t>
      </w:r>
      <w:r w:rsidR="00C83E9C" w:rsidRPr="001316B0">
        <w:rPr>
          <w:rFonts w:ascii="Arial" w:hAnsi="Arial" w:cs="Arial"/>
          <w:lang w:val="en-GB" w:eastAsia="pt-BR"/>
        </w:rPr>
        <w:t xml:space="preserve">m² </w:t>
      </w:r>
      <w:r w:rsidR="001C4F84" w:rsidRPr="001316B0">
        <w:rPr>
          <w:rFonts w:ascii="Arial" w:hAnsi="Arial" w:cs="Arial"/>
          <w:lang w:val="en-GB" w:eastAsia="pt-BR"/>
        </w:rPr>
        <w:t>in 2009 and</w:t>
      </w:r>
      <w:r w:rsidR="00DC24C7" w:rsidRPr="001316B0">
        <w:rPr>
          <w:rFonts w:ascii="Arial" w:hAnsi="Arial" w:cs="Arial"/>
          <w:lang w:val="en-GB" w:eastAsia="pt-BR"/>
        </w:rPr>
        <w:t xml:space="preserve"> 6,500 km²</w:t>
      </w:r>
      <w:r w:rsidR="001C4F84" w:rsidRPr="001316B0">
        <w:rPr>
          <w:rFonts w:ascii="Arial" w:hAnsi="Arial" w:cs="Arial"/>
          <w:lang w:val="en-GB" w:eastAsia="pt-BR"/>
        </w:rPr>
        <w:t xml:space="preserve"> in</w:t>
      </w:r>
      <w:r w:rsidR="00C83E9C" w:rsidRPr="001316B0">
        <w:rPr>
          <w:rFonts w:ascii="Arial" w:hAnsi="Arial" w:cs="Arial"/>
          <w:color w:val="0000FF"/>
          <w:lang w:val="en-GB" w:eastAsia="pt-BR"/>
        </w:rPr>
        <w:t xml:space="preserve"> </w:t>
      </w:r>
      <w:r w:rsidR="009E7926" w:rsidRPr="001316B0">
        <w:rPr>
          <w:rFonts w:ascii="Arial" w:hAnsi="Arial" w:cs="Arial"/>
          <w:lang w:val="en-GB" w:eastAsia="pt-BR"/>
        </w:rPr>
        <w:t xml:space="preserve">2010 – </w:t>
      </w:r>
      <w:r w:rsidR="00C83E9C" w:rsidRPr="001316B0">
        <w:rPr>
          <w:rFonts w:ascii="Arial" w:hAnsi="Arial" w:cs="Arial"/>
          <w:lang w:val="en-GB" w:eastAsia="pt-BR"/>
        </w:rPr>
        <w:t xml:space="preserve"> </w:t>
      </w:r>
      <w:r w:rsidR="00DE2F32" w:rsidRPr="001316B0">
        <w:rPr>
          <w:rFonts w:ascii="Arial" w:hAnsi="Arial" w:cs="Arial"/>
          <w:lang w:val="en-GB" w:eastAsia="pt-BR"/>
        </w:rPr>
        <w:t>the lowest level registered since the start of monitoring 22 years ago</w:t>
      </w:r>
      <w:r w:rsidR="00A14913" w:rsidRPr="001316B0">
        <w:rPr>
          <w:rFonts w:ascii="Arial" w:hAnsi="Arial" w:cs="Arial"/>
          <w:lang w:val="en-GB" w:eastAsia="pt-BR"/>
        </w:rPr>
        <w:t xml:space="preserve"> (La </w:t>
      </w:r>
      <w:proofErr w:type="spellStart"/>
      <w:r w:rsidR="00A14913" w:rsidRPr="001316B0">
        <w:rPr>
          <w:rFonts w:ascii="Arial" w:hAnsi="Arial" w:cs="Arial"/>
          <w:lang w:val="en-GB" w:eastAsia="pt-BR"/>
        </w:rPr>
        <w:t>Rovere</w:t>
      </w:r>
      <w:proofErr w:type="spellEnd"/>
      <w:r w:rsidR="00A14913" w:rsidRPr="001316B0">
        <w:rPr>
          <w:rFonts w:ascii="Arial" w:hAnsi="Arial" w:cs="Arial"/>
          <w:lang w:val="en-GB" w:eastAsia="pt-BR"/>
        </w:rPr>
        <w:t>,</w:t>
      </w:r>
      <w:r w:rsidR="00E1173D" w:rsidRPr="001316B0">
        <w:rPr>
          <w:rFonts w:ascii="Arial" w:hAnsi="Arial" w:cs="Arial"/>
          <w:lang w:val="en-GB" w:eastAsia="pt-BR"/>
        </w:rPr>
        <w:t xml:space="preserve"> </w:t>
      </w:r>
      <w:r w:rsidR="00A14913" w:rsidRPr="001316B0">
        <w:rPr>
          <w:rFonts w:ascii="Arial" w:hAnsi="Arial" w:cs="Arial"/>
          <w:lang w:val="en-GB" w:eastAsia="pt-BR"/>
        </w:rPr>
        <w:t>2009; INPE, 2011).</w:t>
      </w:r>
    </w:p>
    <w:p w14:paraId="2F7F486E" w14:textId="77777777" w:rsidR="00D5207E" w:rsidRPr="001316B0" w:rsidRDefault="00977555" w:rsidP="002904EE">
      <w:pPr>
        <w:spacing w:line="360" w:lineRule="auto"/>
        <w:jc w:val="both"/>
        <w:rPr>
          <w:rFonts w:ascii="Arial" w:hAnsi="Arial" w:cs="Arial"/>
          <w:color w:val="000000"/>
          <w:lang w:val="en-GB"/>
        </w:rPr>
      </w:pPr>
      <w:r w:rsidRPr="001316B0">
        <w:rPr>
          <w:rFonts w:ascii="Arial" w:hAnsi="Arial" w:cs="Arial"/>
          <w:color w:val="000000"/>
          <w:lang w:val="en-GB"/>
        </w:rPr>
        <w:t xml:space="preserve">This </w:t>
      </w:r>
      <w:r w:rsidR="00D5207E" w:rsidRPr="001316B0">
        <w:rPr>
          <w:rFonts w:ascii="Arial" w:hAnsi="Arial" w:cs="Arial"/>
          <w:color w:val="000000"/>
          <w:lang w:val="en-GB"/>
        </w:rPr>
        <w:t xml:space="preserve">PNMC </w:t>
      </w:r>
      <w:r w:rsidRPr="001316B0">
        <w:rPr>
          <w:rFonts w:ascii="Arial" w:hAnsi="Arial" w:cs="Arial"/>
          <w:color w:val="000000"/>
          <w:lang w:val="en-GB"/>
        </w:rPr>
        <w:t xml:space="preserve">goal </w:t>
      </w:r>
      <w:r w:rsidR="00B73E94" w:rsidRPr="001316B0">
        <w:rPr>
          <w:rFonts w:ascii="Arial" w:hAnsi="Arial" w:cs="Arial"/>
          <w:color w:val="000000"/>
          <w:lang w:val="en-GB"/>
        </w:rPr>
        <w:t xml:space="preserve">defined the </w:t>
      </w:r>
      <w:r w:rsidR="00DD5F1C" w:rsidRPr="001316B0">
        <w:rPr>
          <w:rFonts w:ascii="Arial" w:hAnsi="Arial" w:cs="Arial"/>
          <w:color w:val="000000"/>
          <w:lang w:val="en-GB"/>
        </w:rPr>
        <w:t>announcement</w:t>
      </w:r>
      <w:r w:rsidRPr="001316B0">
        <w:rPr>
          <w:rFonts w:ascii="Arial" w:hAnsi="Arial" w:cs="Arial"/>
          <w:color w:val="000000"/>
          <w:lang w:val="en-GB"/>
        </w:rPr>
        <w:t xml:space="preserve"> made in November 2009 of </w:t>
      </w:r>
      <w:r w:rsidR="008F63EE">
        <w:rPr>
          <w:rFonts w:ascii="Arial" w:hAnsi="Arial" w:cs="Arial"/>
          <w:color w:val="000000"/>
          <w:lang w:val="en-GB"/>
        </w:rPr>
        <w:t xml:space="preserve">the </w:t>
      </w:r>
      <w:r w:rsidRPr="001316B0">
        <w:rPr>
          <w:rFonts w:ascii="Arial" w:hAnsi="Arial" w:cs="Arial"/>
          <w:color w:val="000000"/>
          <w:lang w:val="en-GB"/>
        </w:rPr>
        <w:t xml:space="preserve">voluntary objective of GHG emission limitations presented by Brazil for the conference of parties of the </w:t>
      </w:r>
      <w:r w:rsidR="00DD5F1C" w:rsidRPr="001316B0">
        <w:rPr>
          <w:rFonts w:ascii="Arial" w:hAnsi="Arial" w:cs="Arial"/>
          <w:color w:val="000000"/>
          <w:lang w:val="en-GB"/>
        </w:rPr>
        <w:t xml:space="preserve">Convention on Climate Change </w:t>
      </w:r>
      <w:r w:rsidRPr="001316B0">
        <w:rPr>
          <w:rFonts w:ascii="Arial" w:hAnsi="Arial" w:cs="Arial"/>
          <w:color w:val="000000"/>
          <w:lang w:val="en-GB"/>
        </w:rPr>
        <w:t>in Copenhagen</w:t>
      </w:r>
      <w:r w:rsidR="00A14913" w:rsidRPr="001316B0">
        <w:rPr>
          <w:rFonts w:ascii="Arial" w:hAnsi="Arial" w:cs="Arial"/>
          <w:color w:val="000000"/>
          <w:lang w:val="en-GB"/>
        </w:rPr>
        <w:t xml:space="preserve"> (COP15). </w:t>
      </w:r>
      <w:r w:rsidR="005A0E1E">
        <w:rPr>
          <w:rFonts w:ascii="Arial" w:hAnsi="Arial" w:cs="Arial"/>
          <w:color w:val="000000"/>
          <w:lang w:val="en-GB"/>
        </w:rPr>
        <w:t>This</w:t>
      </w:r>
      <w:r w:rsidR="00E71004" w:rsidRPr="001316B0">
        <w:rPr>
          <w:rFonts w:ascii="Arial" w:hAnsi="Arial" w:cs="Arial"/>
          <w:color w:val="000000"/>
          <w:lang w:val="en-GB"/>
        </w:rPr>
        <w:t xml:space="preserve"> objective represented a reduction of 36.1 to 38.9% of emissions in the country in </w:t>
      </w:r>
      <w:r w:rsidR="000B302C" w:rsidRPr="001316B0">
        <w:rPr>
          <w:rFonts w:ascii="Arial" w:hAnsi="Arial" w:cs="Arial"/>
          <w:color w:val="000000"/>
          <w:lang w:val="en-GB"/>
        </w:rPr>
        <w:t>2020,</w:t>
      </w:r>
      <w:r w:rsidR="00E71004" w:rsidRPr="001316B0">
        <w:rPr>
          <w:rFonts w:ascii="Arial" w:hAnsi="Arial" w:cs="Arial"/>
          <w:color w:val="000000"/>
          <w:lang w:val="en-GB"/>
        </w:rPr>
        <w:t xml:space="preserve"> in comparison with the</w:t>
      </w:r>
      <w:r w:rsidR="000B302C" w:rsidRPr="001316B0">
        <w:rPr>
          <w:rFonts w:ascii="Arial" w:hAnsi="Arial" w:cs="Arial"/>
          <w:color w:val="000000"/>
          <w:lang w:val="en-GB"/>
        </w:rPr>
        <w:t xml:space="preserve"> </w:t>
      </w:r>
      <w:r w:rsidR="00075EA9" w:rsidRPr="001316B0">
        <w:rPr>
          <w:rFonts w:ascii="Arial" w:hAnsi="Arial" w:cs="Arial"/>
          <w:color w:val="000000"/>
          <w:lang w:val="en-GB"/>
        </w:rPr>
        <w:t>trend-based scenario.</w:t>
      </w:r>
      <w:r w:rsidR="000B302C" w:rsidRPr="001316B0">
        <w:rPr>
          <w:rFonts w:ascii="Arial" w:hAnsi="Arial" w:cs="Arial"/>
          <w:color w:val="000000"/>
          <w:lang w:val="en-GB"/>
        </w:rPr>
        <w:t xml:space="preserve"> </w:t>
      </w:r>
      <w:r w:rsidR="00075EA9" w:rsidRPr="001316B0">
        <w:rPr>
          <w:rFonts w:ascii="Arial" w:hAnsi="Arial" w:cs="Arial"/>
          <w:color w:val="000000"/>
          <w:lang w:val="en-GB"/>
        </w:rPr>
        <w:t xml:space="preserve">In Cancun, during the </w:t>
      </w:r>
      <w:r w:rsidR="00A14913" w:rsidRPr="001316B0">
        <w:rPr>
          <w:rFonts w:ascii="Arial" w:hAnsi="Arial" w:cs="Arial"/>
          <w:color w:val="000000"/>
          <w:lang w:val="en-GB"/>
        </w:rPr>
        <w:t xml:space="preserve">COP16, </w:t>
      </w:r>
      <w:r w:rsidR="00075EA9" w:rsidRPr="001316B0">
        <w:rPr>
          <w:rFonts w:ascii="Arial" w:hAnsi="Arial" w:cs="Arial"/>
          <w:color w:val="000000"/>
          <w:lang w:val="en-GB"/>
        </w:rPr>
        <w:t xml:space="preserve">publication of the Federal Decree </w:t>
      </w:r>
      <w:r w:rsidR="000B302C" w:rsidRPr="001316B0">
        <w:rPr>
          <w:rFonts w:ascii="Arial" w:eastAsia="Calibri" w:hAnsi="Arial" w:cs="Arial"/>
          <w:lang w:val="en-GB"/>
        </w:rPr>
        <w:t>7390</w:t>
      </w:r>
      <w:r w:rsidR="00075EA9" w:rsidRPr="001316B0">
        <w:rPr>
          <w:rFonts w:ascii="Arial" w:eastAsia="Calibri" w:hAnsi="Arial" w:cs="Arial"/>
          <w:lang w:val="en-GB"/>
        </w:rPr>
        <w:t xml:space="preserve"> was announced, sanctioned by the president on December 9, 2010, that regulated the volume of GHG emissions that should be avoided by</w:t>
      </w:r>
      <w:r w:rsidR="003D6B97" w:rsidRPr="001316B0">
        <w:rPr>
          <w:rFonts w:ascii="Arial" w:eastAsia="Calibri" w:hAnsi="Arial" w:cs="Arial"/>
          <w:lang w:val="en-GB"/>
        </w:rPr>
        <w:t xml:space="preserve"> Brazil by presenting </w:t>
      </w:r>
      <w:r w:rsidR="00075EA9" w:rsidRPr="001316B0">
        <w:rPr>
          <w:rFonts w:ascii="Arial" w:eastAsia="Calibri" w:hAnsi="Arial" w:cs="Arial"/>
          <w:lang w:val="en-GB"/>
        </w:rPr>
        <w:t>values for the trend-based scenario shown in Chart 4.</w:t>
      </w:r>
      <w:r w:rsidR="000B302C" w:rsidRPr="001316B0">
        <w:rPr>
          <w:rFonts w:ascii="Arial" w:hAnsi="Arial" w:cs="Arial"/>
          <w:color w:val="000000"/>
          <w:lang w:val="en-GB"/>
        </w:rPr>
        <w:t xml:space="preserve"> </w:t>
      </w:r>
    </w:p>
    <w:p w14:paraId="410A794E" w14:textId="77777777" w:rsidR="00537398" w:rsidRPr="001316B0" w:rsidRDefault="00537398" w:rsidP="002904EE">
      <w:pPr>
        <w:spacing w:line="360" w:lineRule="auto"/>
        <w:ind w:firstLine="708"/>
        <w:jc w:val="both"/>
        <w:rPr>
          <w:rFonts w:ascii="Arial" w:hAnsi="Arial" w:cs="Arial"/>
          <w:lang w:val="en-GB"/>
        </w:rPr>
      </w:pPr>
    </w:p>
    <w:p w14:paraId="49DC7AE7" w14:textId="77777777" w:rsidR="00E60A94" w:rsidRPr="001316B0" w:rsidRDefault="00342AC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54"/>
        </w:tabs>
        <w:spacing w:line="360" w:lineRule="auto"/>
        <w:ind w:right="44"/>
        <w:jc w:val="center"/>
        <w:rPr>
          <w:rFonts w:ascii="Arial" w:eastAsia="Calibri" w:hAnsi="Arial" w:cs="Arial"/>
          <w:b/>
          <w:lang w:val="en-GB"/>
        </w:rPr>
      </w:pPr>
      <w:r w:rsidRPr="001316B0">
        <w:rPr>
          <w:rFonts w:ascii="Arial" w:eastAsia="Calibri" w:hAnsi="Arial" w:cs="Arial"/>
          <w:b/>
          <w:lang w:val="en-GB"/>
        </w:rPr>
        <w:t>Chart 4</w:t>
      </w:r>
    </w:p>
    <w:p w14:paraId="2A63DA65" w14:textId="77777777" w:rsidR="0065043F" w:rsidRPr="001316B0" w:rsidRDefault="00342AC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54"/>
        </w:tabs>
        <w:spacing w:line="360" w:lineRule="auto"/>
        <w:ind w:right="44"/>
        <w:jc w:val="center"/>
        <w:rPr>
          <w:rFonts w:ascii="Arial" w:eastAsia="Calibri" w:hAnsi="Arial" w:cs="Arial"/>
          <w:b/>
          <w:lang w:val="en-GB"/>
        </w:rPr>
      </w:pPr>
      <w:r w:rsidRPr="001316B0">
        <w:rPr>
          <w:rFonts w:ascii="Arial" w:eastAsia="Calibri" w:hAnsi="Arial" w:cs="Arial"/>
          <w:b/>
          <w:lang w:val="en-GB"/>
        </w:rPr>
        <w:t>Greenhouse Gas (GHG</w:t>
      </w:r>
      <w:r w:rsidR="002B7795" w:rsidRPr="001316B0">
        <w:rPr>
          <w:rFonts w:ascii="Arial" w:eastAsia="Calibri" w:hAnsi="Arial" w:cs="Arial"/>
          <w:b/>
          <w:lang w:val="en-GB"/>
        </w:rPr>
        <w:t xml:space="preserve">) </w:t>
      </w:r>
      <w:r w:rsidRPr="001316B0">
        <w:rPr>
          <w:rFonts w:ascii="Arial" w:eastAsia="Calibri" w:hAnsi="Arial" w:cs="Arial"/>
          <w:b/>
          <w:lang w:val="en-GB"/>
        </w:rPr>
        <w:t>Emissions in 1990 and</w:t>
      </w:r>
      <w:r w:rsidR="002B7795" w:rsidRPr="001316B0">
        <w:rPr>
          <w:rFonts w:ascii="Arial" w:eastAsia="Calibri" w:hAnsi="Arial" w:cs="Arial"/>
          <w:b/>
          <w:lang w:val="en-GB"/>
        </w:rPr>
        <w:t xml:space="preserve"> 2005 </w:t>
      </w:r>
    </w:p>
    <w:p w14:paraId="53BE0C70" w14:textId="77777777" w:rsidR="00D5207E" w:rsidRPr="001316B0" w:rsidRDefault="00342AC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54"/>
        </w:tabs>
        <w:spacing w:line="360" w:lineRule="auto"/>
        <w:ind w:right="44"/>
        <w:jc w:val="center"/>
        <w:rPr>
          <w:rFonts w:ascii="Arial" w:eastAsia="ヒラギノ角ゴ Pro W3" w:hAnsi="Arial" w:cs="Arial"/>
          <w:b/>
          <w:color w:val="000000"/>
          <w:lang w:val="en-GB"/>
        </w:rPr>
      </w:pPr>
      <w:proofErr w:type="gramStart"/>
      <w:r w:rsidRPr="001316B0">
        <w:rPr>
          <w:rFonts w:ascii="Arial" w:eastAsia="Calibri" w:hAnsi="Arial" w:cs="Arial"/>
          <w:b/>
          <w:lang w:val="en-GB"/>
        </w:rPr>
        <w:t>and</w:t>
      </w:r>
      <w:proofErr w:type="gramEnd"/>
      <w:r w:rsidRPr="001316B0">
        <w:rPr>
          <w:rFonts w:ascii="Arial" w:eastAsia="Calibri" w:hAnsi="Arial" w:cs="Arial"/>
          <w:b/>
          <w:lang w:val="en-GB"/>
        </w:rPr>
        <w:t xml:space="preserve"> Mitigation Actions of Brazil until </w:t>
      </w:r>
      <w:r w:rsidR="00D5207E" w:rsidRPr="001316B0">
        <w:rPr>
          <w:rFonts w:ascii="Arial" w:eastAsia="ヒラギノ角ゴ Pro W3" w:hAnsi="Arial" w:cs="Arial"/>
          <w:b/>
          <w:color w:val="000000"/>
          <w:lang w:val="en-GB"/>
        </w:rPr>
        <w:t>2020</w:t>
      </w:r>
    </w:p>
    <w:p w14:paraId="3CF003EC" w14:textId="77777777" w:rsidR="00D5207E" w:rsidRPr="001316B0" w:rsidRDefault="00D5207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54"/>
        </w:tabs>
        <w:spacing w:line="360" w:lineRule="auto"/>
        <w:ind w:right="44"/>
        <w:jc w:val="center"/>
        <w:rPr>
          <w:rFonts w:ascii="Arial" w:eastAsia="ヒラギノ角ゴ Pro W3" w:hAnsi="Arial" w:cs="Arial"/>
          <w:color w:val="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248"/>
        <w:gridCol w:w="1248"/>
        <w:gridCol w:w="1220"/>
        <w:gridCol w:w="1216"/>
        <w:gridCol w:w="1220"/>
        <w:gridCol w:w="1354"/>
      </w:tblGrid>
      <w:tr w:rsidR="009952CF" w:rsidRPr="001316B0" w14:paraId="7DCE2395" w14:textId="77777777" w:rsidTr="00E60A94">
        <w:trPr>
          <w:jc w:val="center"/>
        </w:trPr>
        <w:tc>
          <w:tcPr>
            <w:tcW w:w="1344" w:type="dxa"/>
          </w:tcPr>
          <w:p w14:paraId="5ED34967" w14:textId="77777777" w:rsidR="00D5207E" w:rsidRPr="001316B0" w:rsidRDefault="00F575E7" w:rsidP="002904E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Emissions</w:t>
            </w:r>
          </w:p>
          <w:p w14:paraId="6AB3D7FF" w14:textId="77777777" w:rsidR="00D5207E" w:rsidRPr="001316B0" w:rsidRDefault="00D5207E" w:rsidP="00F575E7">
            <w:pPr>
              <w:spacing w:after="200" w:line="360" w:lineRule="auto"/>
              <w:jc w:val="both"/>
              <w:rPr>
                <w:rFonts w:ascii="Arial" w:eastAsia="Calibri" w:hAnsi="Arial" w:cs="Arial"/>
                <w:lang w:val="en-GB"/>
              </w:rPr>
            </w:pPr>
            <w:r w:rsidRPr="001316B0">
              <w:rPr>
                <w:rFonts w:ascii="Arial" w:eastAsia="ヒラギノ角ゴ Pro W3" w:hAnsi="Arial" w:cs="Arial"/>
                <w:color w:val="000000"/>
                <w:lang w:val="en-GB"/>
              </w:rPr>
              <w:t>(Mt CO</w:t>
            </w:r>
            <w:r w:rsidRPr="001316B0">
              <w:rPr>
                <w:rFonts w:ascii="Arial" w:eastAsia="ヒラギノ角ゴ Pro W3" w:hAnsi="Arial" w:cs="Arial"/>
                <w:color w:val="000000"/>
                <w:vertAlign w:val="subscript"/>
                <w:lang w:val="en-GB"/>
              </w:rPr>
              <w:t>2</w:t>
            </w:r>
            <w:r w:rsidR="002B7795" w:rsidRPr="001316B0">
              <w:rPr>
                <w:rFonts w:ascii="Arial" w:eastAsia="ヒラギノ角ゴ Pro W3" w:hAnsi="Arial" w:cs="Arial"/>
                <w:color w:val="000000"/>
                <w:lang w:val="en-GB"/>
              </w:rPr>
              <w:t xml:space="preserve">eq / </w:t>
            </w:r>
            <w:r w:rsidR="00F575E7" w:rsidRPr="001316B0">
              <w:rPr>
                <w:rFonts w:ascii="Arial" w:eastAsia="ヒラギノ角ゴ Pro W3" w:hAnsi="Arial" w:cs="Arial"/>
                <w:color w:val="000000"/>
                <w:lang w:val="en-GB"/>
              </w:rPr>
              <w:t>year</w:t>
            </w:r>
            <w:r w:rsidRPr="001316B0">
              <w:rPr>
                <w:rFonts w:ascii="Arial" w:eastAsia="ヒラギノ角ゴ Pro W3" w:hAnsi="Arial" w:cs="Arial"/>
                <w:color w:val="000000"/>
                <w:lang w:val="en-GB"/>
              </w:rPr>
              <w:t>)</w:t>
            </w:r>
          </w:p>
        </w:tc>
        <w:tc>
          <w:tcPr>
            <w:tcW w:w="1229" w:type="dxa"/>
          </w:tcPr>
          <w:p w14:paraId="10723AD7" w14:textId="77777777" w:rsidR="00D5207E" w:rsidRPr="001316B0" w:rsidRDefault="00D5207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1990</w:t>
            </w:r>
          </w:p>
          <w:p w14:paraId="0947FE7C" w14:textId="77777777" w:rsidR="002B7795" w:rsidRPr="001316B0" w:rsidRDefault="002B7795"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line="360" w:lineRule="auto"/>
              <w:ind w:right="44"/>
              <w:jc w:val="both"/>
              <w:rPr>
                <w:rFonts w:ascii="Arial" w:eastAsia="ヒラギノ角ゴ Pro W3" w:hAnsi="Arial" w:cs="Arial"/>
                <w:color w:val="000000"/>
                <w:lang w:val="en-GB"/>
              </w:rPr>
            </w:pPr>
          </w:p>
          <w:p w14:paraId="29FA8D40" w14:textId="77777777" w:rsidR="00D5207E" w:rsidRPr="001316B0" w:rsidRDefault="00F575E7" w:rsidP="00F57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Inventory Data</w:t>
            </w:r>
            <w:r w:rsidR="00D5207E" w:rsidRPr="001316B0">
              <w:rPr>
                <w:rFonts w:ascii="Arial" w:eastAsia="ヒラギノ角ゴ Pro W3" w:hAnsi="Arial" w:cs="Arial"/>
                <w:color w:val="000000"/>
                <w:lang w:val="en-GB"/>
              </w:rPr>
              <w:t xml:space="preserve"> </w:t>
            </w:r>
          </w:p>
        </w:tc>
        <w:tc>
          <w:tcPr>
            <w:tcW w:w="1228" w:type="dxa"/>
          </w:tcPr>
          <w:p w14:paraId="0C099E8E" w14:textId="77777777" w:rsidR="00D5207E" w:rsidRPr="001316B0" w:rsidRDefault="00D5207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2005</w:t>
            </w:r>
          </w:p>
          <w:p w14:paraId="681459F1" w14:textId="77777777" w:rsidR="002B7795" w:rsidRPr="001316B0" w:rsidRDefault="002B7795"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line="360" w:lineRule="auto"/>
              <w:ind w:right="44"/>
              <w:jc w:val="both"/>
              <w:rPr>
                <w:rFonts w:ascii="Arial" w:eastAsia="ヒラギノ角ゴ Pro W3" w:hAnsi="Arial" w:cs="Arial"/>
                <w:color w:val="000000"/>
                <w:lang w:val="en-GB"/>
              </w:rPr>
            </w:pPr>
          </w:p>
          <w:p w14:paraId="6FCB60C5" w14:textId="77777777" w:rsidR="00D5207E" w:rsidRPr="001316B0" w:rsidRDefault="00F575E7" w:rsidP="00F57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Inventory Data</w:t>
            </w:r>
          </w:p>
        </w:tc>
        <w:tc>
          <w:tcPr>
            <w:tcW w:w="1220" w:type="dxa"/>
          </w:tcPr>
          <w:p w14:paraId="684C46D2" w14:textId="77777777" w:rsidR="00D5207E" w:rsidRPr="001316B0" w:rsidRDefault="00F575E7" w:rsidP="00F575E7">
            <w:pPr>
              <w:spacing w:after="200" w:line="360" w:lineRule="auto"/>
              <w:jc w:val="both"/>
              <w:rPr>
                <w:rFonts w:ascii="Arial" w:eastAsia="Calibri" w:hAnsi="Arial" w:cs="Arial"/>
                <w:lang w:val="en-GB"/>
              </w:rPr>
            </w:pPr>
            <w:r w:rsidRPr="001316B0">
              <w:rPr>
                <w:rFonts w:ascii="Arial" w:eastAsia="Calibri" w:hAnsi="Arial" w:cs="Arial"/>
                <w:lang w:val="en-GB"/>
              </w:rPr>
              <w:t xml:space="preserve">Variation </w:t>
            </w:r>
            <w:r w:rsidR="00D5207E" w:rsidRPr="001316B0">
              <w:rPr>
                <w:rFonts w:ascii="Arial" w:eastAsia="Calibri" w:hAnsi="Arial" w:cs="Arial"/>
                <w:lang w:val="en-GB"/>
              </w:rPr>
              <w:t>1990 – 2005 (%)</w:t>
            </w:r>
          </w:p>
        </w:tc>
        <w:tc>
          <w:tcPr>
            <w:tcW w:w="1216" w:type="dxa"/>
          </w:tcPr>
          <w:p w14:paraId="5145DDCD" w14:textId="77777777" w:rsidR="002B7795" w:rsidRPr="001316B0" w:rsidRDefault="00F575E7" w:rsidP="00F57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Trend-Based Scenario</w:t>
            </w:r>
          </w:p>
          <w:p w14:paraId="005AD074" w14:textId="77777777" w:rsidR="002B7795" w:rsidRPr="001316B0" w:rsidRDefault="002B7795"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ind w:right="44"/>
              <w:jc w:val="both"/>
              <w:rPr>
                <w:rFonts w:ascii="Arial" w:eastAsia="ヒラギノ角ゴ Pro W3" w:hAnsi="Arial" w:cs="Arial"/>
                <w:color w:val="000000"/>
                <w:lang w:val="en-GB"/>
              </w:rPr>
            </w:pPr>
          </w:p>
          <w:p w14:paraId="36FB907D" w14:textId="77777777" w:rsidR="00D5207E" w:rsidRPr="001316B0" w:rsidRDefault="00D5207E" w:rsidP="002904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2020</w:t>
            </w:r>
          </w:p>
          <w:p w14:paraId="6BE2D48A" w14:textId="77777777" w:rsidR="00D5207E" w:rsidRPr="001316B0" w:rsidRDefault="00D5207E" w:rsidP="002904EE">
            <w:pPr>
              <w:spacing w:after="200" w:line="360" w:lineRule="auto"/>
              <w:jc w:val="both"/>
              <w:rPr>
                <w:rFonts w:ascii="Arial" w:eastAsia="Calibri" w:hAnsi="Arial" w:cs="Arial"/>
                <w:lang w:val="en-GB"/>
              </w:rPr>
            </w:pPr>
          </w:p>
        </w:tc>
        <w:tc>
          <w:tcPr>
            <w:tcW w:w="1220" w:type="dxa"/>
          </w:tcPr>
          <w:p w14:paraId="7800A525" w14:textId="77777777" w:rsidR="00D5207E" w:rsidRPr="001316B0" w:rsidRDefault="00F575E7" w:rsidP="00DB7104">
            <w:pPr>
              <w:spacing w:after="200" w:line="360" w:lineRule="auto"/>
              <w:jc w:val="both"/>
              <w:rPr>
                <w:rFonts w:ascii="Arial" w:eastAsia="Calibri" w:hAnsi="Arial" w:cs="Arial"/>
                <w:lang w:val="en-GB"/>
              </w:rPr>
            </w:pPr>
            <w:r w:rsidRPr="001316B0">
              <w:rPr>
                <w:rFonts w:ascii="Arial" w:eastAsia="Calibri" w:hAnsi="Arial" w:cs="Arial"/>
                <w:lang w:val="en-GB"/>
              </w:rPr>
              <w:t xml:space="preserve">Variation </w:t>
            </w:r>
            <w:r w:rsidR="00D5207E" w:rsidRPr="001316B0">
              <w:rPr>
                <w:rFonts w:ascii="Arial" w:eastAsia="Calibri" w:hAnsi="Arial" w:cs="Arial"/>
                <w:lang w:val="en-GB"/>
              </w:rPr>
              <w:t>2005 – 2020 (%)</w:t>
            </w:r>
          </w:p>
        </w:tc>
        <w:tc>
          <w:tcPr>
            <w:tcW w:w="1263" w:type="dxa"/>
          </w:tcPr>
          <w:p w14:paraId="4BCC75C0" w14:textId="77777777" w:rsidR="00D5207E" w:rsidRPr="001316B0" w:rsidRDefault="00F575E7" w:rsidP="00F575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ind w:right="44"/>
              <w:jc w:val="both"/>
              <w:rPr>
                <w:rFonts w:ascii="Arial" w:eastAsia="ヒラギノ角ゴ Pro W3" w:hAnsi="Arial" w:cs="Arial"/>
                <w:color w:val="000000"/>
                <w:lang w:val="en-GB"/>
              </w:rPr>
            </w:pPr>
            <w:r w:rsidRPr="001316B0">
              <w:rPr>
                <w:rFonts w:ascii="Arial" w:eastAsia="ヒラギノ角ゴ Pro W3" w:hAnsi="Arial" w:cs="Arial"/>
                <w:color w:val="000000"/>
                <w:lang w:val="en-GB"/>
              </w:rPr>
              <w:t>Emissions avoided by mitigation actions in</w:t>
            </w:r>
            <w:r w:rsidR="00D5207E" w:rsidRPr="001316B0">
              <w:rPr>
                <w:rFonts w:ascii="Arial" w:eastAsia="ヒラギノ角ゴ Pro W3" w:hAnsi="Arial" w:cs="Arial"/>
                <w:color w:val="000000"/>
                <w:lang w:val="en-GB"/>
              </w:rPr>
              <w:t xml:space="preserve"> 2020 </w:t>
            </w:r>
          </w:p>
        </w:tc>
      </w:tr>
      <w:tr w:rsidR="009952CF" w:rsidRPr="001316B0" w14:paraId="5A5913C3" w14:textId="77777777" w:rsidTr="00E60A94">
        <w:trPr>
          <w:jc w:val="center"/>
        </w:trPr>
        <w:tc>
          <w:tcPr>
            <w:tcW w:w="1344" w:type="dxa"/>
          </w:tcPr>
          <w:p w14:paraId="68380D5A" w14:textId="77777777" w:rsidR="00D5207E" w:rsidRPr="001316B0" w:rsidRDefault="007F2DDB" w:rsidP="007F2DDB">
            <w:pPr>
              <w:spacing w:after="200" w:line="360" w:lineRule="auto"/>
              <w:jc w:val="both"/>
              <w:rPr>
                <w:rFonts w:ascii="Arial" w:eastAsia="Calibri" w:hAnsi="Arial" w:cs="Arial"/>
                <w:lang w:val="en-GB"/>
              </w:rPr>
            </w:pPr>
            <w:r w:rsidRPr="001316B0">
              <w:rPr>
                <w:rFonts w:ascii="Arial" w:eastAsia="Calibri" w:hAnsi="Arial" w:cs="Arial"/>
                <w:lang w:val="en-GB"/>
              </w:rPr>
              <w:t>Land use changes</w:t>
            </w:r>
          </w:p>
        </w:tc>
        <w:tc>
          <w:tcPr>
            <w:tcW w:w="1229" w:type="dxa"/>
          </w:tcPr>
          <w:p w14:paraId="49652A35"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746</w:t>
            </w:r>
          </w:p>
        </w:tc>
        <w:tc>
          <w:tcPr>
            <w:tcW w:w="1228" w:type="dxa"/>
          </w:tcPr>
          <w:p w14:paraId="49111E67"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1268</w:t>
            </w:r>
          </w:p>
        </w:tc>
        <w:tc>
          <w:tcPr>
            <w:tcW w:w="1220" w:type="dxa"/>
          </w:tcPr>
          <w:p w14:paraId="30C82584"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70%</w:t>
            </w:r>
          </w:p>
        </w:tc>
        <w:tc>
          <w:tcPr>
            <w:tcW w:w="1216" w:type="dxa"/>
          </w:tcPr>
          <w:p w14:paraId="09541977"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1404</w:t>
            </w:r>
          </w:p>
        </w:tc>
        <w:tc>
          <w:tcPr>
            <w:tcW w:w="1220" w:type="dxa"/>
          </w:tcPr>
          <w:p w14:paraId="7A619BE8"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11%</w:t>
            </w:r>
          </w:p>
        </w:tc>
        <w:tc>
          <w:tcPr>
            <w:tcW w:w="1263" w:type="dxa"/>
          </w:tcPr>
          <w:p w14:paraId="0DA6FD88" w14:textId="77777777" w:rsidR="00D5207E" w:rsidRPr="001316B0" w:rsidRDefault="00D5207E" w:rsidP="002904EE">
            <w:pPr>
              <w:spacing w:after="200" w:line="360" w:lineRule="auto"/>
              <w:jc w:val="both"/>
              <w:rPr>
                <w:rFonts w:ascii="Arial" w:eastAsia="Calibri" w:hAnsi="Arial" w:cs="Arial"/>
                <w:lang w:val="en-GB"/>
              </w:rPr>
            </w:pPr>
          </w:p>
        </w:tc>
      </w:tr>
      <w:tr w:rsidR="009952CF" w:rsidRPr="001316B0" w14:paraId="41C13C86" w14:textId="77777777" w:rsidTr="00E60A94">
        <w:trPr>
          <w:jc w:val="center"/>
        </w:trPr>
        <w:tc>
          <w:tcPr>
            <w:tcW w:w="1344" w:type="dxa"/>
          </w:tcPr>
          <w:p w14:paraId="2657F303" w14:textId="77777777" w:rsidR="00D5207E" w:rsidRPr="001316B0" w:rsidRDefault="00D5207E" w:rsidP="007F2DDB">
            <w:pPr>
              <w:spacing w:after="200" w:line="360" w:lineRule="auto"/>
              <w:jc w:val="both"/>
              <w:rPr>
                <w:rFonts w:ascii="Arial" w:eastAsia="Calibri" w:hAnsi="Arial" w:cs="Arial"/>
                <w:lang w:val="en-GB"/>
              </w:rPr>
            </w:pPr>
            <w:r w:rsidRPr="001316B0">
              <w:rPr>
                <w:rFonts w:ascii="Arial" w:eastAsia="Calibri" w:hAnsi="Arial" w:cs="Arial"/>
                <w:lang w:val="en-GB"/>
              </w:rPr>
              <w:lastRenderedPageBreak/>
              <w:t>Am</w:t>
            </w:r>
            <w:r w:rsidR="002B7795" w:rsidRPr="001316B0">
              <w:rPr>
                <w:rFonts w:ascii="Arial" w:eastAsia="Calibri" w:hAnsi="Arial" w:cs="Arial"/>
                <w:lang w:val="en-GB"/>
              </w:rPr>
              <w:t>a</w:t>
            </w:r>
            <w:r w:rsidR="007F2DDB" w:rsidRPr="001316B0">
              <w:rPr>
                <w:rFonts w:ascii="Arial" w:eastAsia="Calibri" w:hAnsi="Arial" w:cs="Arial"/>
                <w:lang w:val="en-GB"/>
              </w:rPr>
              <w:t>zon</w:t>
            </w:r>
          </w:p>
        </w:tc>
        <w:tc>
          <w:tcPr>
            <w:tcW w:w="1229" w:type="dxa"/>
          </w:tcPr>
          <w:p w14:paraId="17128565" w14:textId="77777777" w:rsidR="00D5207E" w:rsidRPr="001316B0" w:rsidRDefault="00D5207E" w:rsidP="002904EE">
            <w:pPr>
              <w:spacing w:after="200" w:line="360" w:lineRule="auto"/>
              <w:jc w:val="both"/>
              <w:rPr>
                <w:rFonts w:ascii="Arial" w:eastAsia="Calibri" w:hAnsi="Arial" w:cs="Arial"/>
                <w:lang w:val="en-GB"/>
              </w:rPr>
            </w:pPr>
          </w:p>
        </w:tc>
        <w:tc>
          <w:tcPr>
            <w:tcW w:w="1228" w:type="dxa"/>
          </w:tcPr>
          <w:p w14:paraId="3C943C39" w14:textId="77777777" w:rsidR="00D5207E" w:rsidRPr="001316B0" w:rsidRDefault="00D5207E" w:rsidP="002904EE">
            <w:pPr>
              <w:spacing w:after="200" w:line="360" w:lineRule="auto"/>
              <w:jc w:val="both"/>
              <w:rPr>
                <w:rFonts w:ascii="Arial" w:eastAsia="Calibri" w:hAnsi="Arial" w:cs="Arial"/>
                <w:lang w:val="en-GB"/>
              </w:rPr>
            </w:pPr>
          </w:p>
        </w:tc>
        <w:tc>
          <w:tcPr>
            <w:tcW w:w="1220" w:type="dxa"/>
          </w:tcPr>
          <w:p w14:paraId="1DD729F4" w14:textId="77777777" w:rsidR="00D5207E" w:rsidRPr="001316B0" w:rsidRDefault="00D5207E" w:rsidP="002904EE">
            <w:pPr>
              <w:spacing w:after="200" w:line="360" w:lineRule="auto"/>
              <w:jc w:val="both"/>
              <w:rPr>
                <w:rFonts w:ascii="Arial" w:eastAsia="Calibri" w:hAnsi="Arial" w:cs="Arial"/>
                <w:lang w:val="en-GB"/>
              </w:rPr>
            </w:pPr>
          </w:p>
        </w:tc>
        <w:tc>
          <w:tcPr>
            <w:tcW w:w="1216" w:type="dxa"/>
          </w:tcPr>
          <w:p w14:paraId="627147E9"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948</w:t>
            </w:r>
          </w:p>
        </w:tc>
        <w:tc>
          <w:tcPr>
            <w:tcW w:w="1220" w:type="dxa"/>
          </w:tcPr>
          <w:p w14:paraId="2EE0A06B" w14:textId="77777777" w:rsidR="00D5207E" w:rsidRPr="001316B0" w:rsidRDefault="00D5207E" w:rsidP="002904EE">
            <w:pPr>
              <w:spacing w:after="200" w:line="360" w:lineRule="auto"/>
              <w:jc w:val="both"/>
              <w:rPr>
                <w:rFonts w:ascii="Arial" w:eastAsia="Calibri" w:hAnsi="Arial" w:cs="Arial"/>
                <w:lang w:val="en-GB"/>
              </w:rPr>
            </w:pPr>
          </w:p>
        </w:tc>
        <w:tc>
          <w:tcPr>
            <w:tcW w:w="1263" w:type="dxa"/>
          </w:tcPr>
          <w:p w14:paraId="7A76FC7D" w14:textId="77777777" w:rsidR="00D5207E" w:rsidRPr="001316B0" w:rsidRDefault="00D5207E" w:rsidP="002904EE">
            <w:pPr>
              <w:spacing w:after="200" w:line="360" w:lineRule="auto"/>
              <w:jc w:val="both"/>
              <w:rPr>
                <w:rFonts w:ascii="Arial" w:eastAsia="Calibri" w:hAnsi="Arial" w:cs="Arial"/>
                <w:lang w:val="en-GB"/>
              </w:rPr>
            </w:pPr>
          </w:p>
        </w:tc>
      </w:tr>
      <w:tr w:rsidR="009952CF" w:rsidRPr="001316B0" w14:paraId="7AF51901" w14:textId="77777777" w:rsidTr="00E60A94">
        <w:trPr>
          <w:jc w:val="center"/>
        </w:trPr>
        <w:tc>
          <w:tcPr>
            <w:tcW w:w="1344" w:type="dxa"/>
          </w:tcPr>
          <w:p w14:paraId="2D3BB6EC" w14:textId="77777777" w:rsidR="00D5207E" w:rsidRPr="001316B0" w:rsidRDefault="002B7795" w:rsidP="002904EE">
            <w:pPr>
              <w:spacing w:after="200" w:line="360" w:lineRule="auto"/>
              <w:jc w:val="both"/>
              <w:rPr>
                <w:rFonts w:ascii="Arial" w:eastAsia="Calibri" w:hAnsi="Arial" w:cs="Arial"/>
                <w:lang w:val="en-GB"/>
              </w:rPr>
            </w:pPr>
            <w:proofErr w:type="spellStart"/>
            <w:r w:rsidRPr="001316B0">
              <w:rPr>
                <w:rFonts w:ascii="Arial" w:eastAsia="Calibri" w:hAnsi="Arial" w:cs="Arial"/>
                <w:lang w:val="en-GB"/>
              </w:rPr>
              <w:t>Cerrado</w:t>
            </w:r>
            <w:proofErr w:type="spellEnd"/>
          </w:p>
        </w:tc>
        <w:tc>
          <w:tcPr>
            <w:tcW w:w="1229" w:type="dxa"/>
          </w:tcPr>
          <w:p w14:paraId="66E55832" w14:textId="77777777" w:rsidR="00D5207E" w:rsidRPr="001316B0" w:rsidRDefault="00D5207E" w:rsidP="002904EE">
            <w:pPr>
              <w:spacing w:after="200" w:line="360" w:lineRule="auto"/>
              <w:jc w:val="both"/>
              <w:rPr>
                <w:rFonts w:ascii="Arial" w:eastAsia="Calibri" w:hAnsi="Arial" w:cs="Arial"/>
                <w:lang w:val="en-GB"/>
              </w:rPr>
            </w:pPr>
          </w:p>
        </w:tc>
        <w:tc>
          <w:tcPr>
            <w:tcW w:w="1228" w:type="dxa"/>
          </w:tcPr>
          <w:p w14:paraId="0775558D" w14:textId="77777777" w:rsidR="00D5207E" w:rsidRPr="001316B0" w:rsidRDefault="00D5207E" w:rsidP="002904EE">
            <w:pPr>
              <w:spacing w:after="200" w:line="360" w:lineRule="auto"/>
              <w:jc w:val="both"/>
              <w:rPr>
                <w:rFonts w:ascii="Arial" w:eastAsia="Calibri" w:hAnsi="Arial" w:cs="Arial"/>
                <w:lang w:val="en-GB"/>
              </w:rPr>
            </w:pPr>
          </w:p>
        </w:tc>
        <w:tc>
          <w:tcPr>
            <w:tcW w:w="1220" w:type="dxa"/>
          </w:tcPr>
          <w:p w14:paraId="3B5FBE77" w14:textId="77777777" w:rsidR="00D5207E" w:rsidRPr="001316B0" w:rsidRDefault="00D5207E" w:rsidP="002904EE">
            <w:pPr>
              <w:spacing w:after="200" w:line="360" w:lineRule="auto"/>
              <w:jc w:val="both"/>
              <w:rPr>
                <w:rFonts w:ascii="Arial" w:eastAsia="Calibri" w:hAnsi="Arial" w:cs="Arial"/>
                <w:lang w:val="en-GB"/>
              </w:rPr>
            </w:pPr>
          </w:p>
        </w:tc>
        <w:tc>
          <w:tcPr>
            <w:tcW w:w="1216" w:type="dxa"/>
          </w:tcPr>
          <w:p w14:paraId="631AB691"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323</w:t>
            </w:r>
          </w:p>
        </w:tc>
        <w:tc>
          <w:tcPr>
            <w:tcW w:w="1220" w:type="dxa"/>
          </w:tcPr>
          <w:p w14:paraId="12DAC2A1" w14:textId="77777777" w:rsidR="00D5207E" w:rsidRPr="001316B0" w:rsidRDefault="00D5207E" w:rsidP="002904EE">
            <w:pPr>
              <w:spacing w:after="200" w:line="360" w:lineRule="auto"/>
              <w:jc w:val="both"/>
              <w:rPr>
                <w:rFonts w:ascii="Arial" w:eastAsia="Calibri" w:hAnsi="Arial" w:cs="Arial"/>
                <w:lang w:val="en-GB"/>
              </w:rPr>
            </w:pPr>
          </w:p>
        </w:tc>
        <w:tc>
          <w:tcPr>
            <w:tcW w:w="1263" w:type="dxa"/>
          </w:tcPr>
          <w:p w14:paraId="6D6947D1" w14:textId="77777777" w:rsidR="00D5207E" w:rsidRPr="001316B0" w:rsidRDefault="00D5207E" w:rsidP="002904EE">
            <w:pPr>
              <w:spacing w:after="200" w:line="360" w:lineRule="auto"/>
              <w:jc w:val="both"/>
              <w:rPr>
                <w:rFonts w:ascii="Arial" w:eastAsia="Calibri" w:hAnsi="Arial" w:cs="Arial"/>
                <w:lang w:val="en-GB"/>
              </w:rPr>
            </w:pPr>
          </w:p>
        </w:tc>
      </w:tr>
      <w:tr w:rsidR="009952CF" w:rsidRPr="001316B0" w14:paraId="715E4F73" w14:textId="77777777" w:rsidTr="00E60A94">
        <w:trPr>
          <w:jc w:val="center"/>
        </w:trPr>
        <w:tc>
          <w:tcPr>
            <w:tcW w:w="1344" w:type="dxa"/>
          </w:tcPr>
          <w:p w14:paraId="27CD33C6" w14:textId="77777777" w:rsidR="00D5207E" w:rsidRPr="001316B0" w:rsidRDefault="00D5207E" w:rsidP="009952CF">
            <w:pPr>
              <w:spacing w:after="200" w:line="360" w:lineRule="auto"/>
              <w:jc w:val="both"/>
              <w:rPr>
                <w:rFonts w:ascii="Arial" w:eastAsia="Calibri" w:hAnsi="Arial" w:cs="Arial"/>
                <w:lang w:val="en-GB"/>
              </w:rPr>
            </w:pPr>
            <w:r w:rsidRPr="001316B0">
              <w:rPr>
                <w:rFonts w:ascii="Arial" w:eastAsia="Calibri" w:hAnsi="Arial" w:cs="Arial"/>
                <w:lang w:val="en-GB"/>
              </w:rPr>
              <w:t>O</w:t>
            </w:r>
            <w:r w:rsidR="009952CF" w:rsidRPr="001316B0">
              <w:rPr>
                <w:rFonts w:ascii="Arial" w:eastAsia="Calibri" w:hAnsi="Arial" w:cs="Arial"/>
                <w:lang w:val="en-GB"/>
              </w:rPr>
              <w:t>ther biomass</w:t>
            </w:r>
          </w:p>
        </w:tc>
        <w:tc>
          <w:tcPr>
            <w:tcW w:w="1229" w:type="dxa"/>
          </w:tcPr>
          <w:p w14:paraId="064808E0" w14:textId="77777777" w:rsidR="00D5207E" w:rsidRPr="001316B0" w:rsidRDefault="00D5207E" w:rsidP="002904EE">
            <w:pPr>
              <w:spacing w:after="200" w:line="360" w:lineRule="auto"/>
              <w:jc w:val="both"/>
              <w:rPr>
                <w:rFonts w:ascii="Arial" w:eastAsia="Calibri" w:hAnsi="Arial" w:cs="Arial"/>
                <w:lang w:val="en-GB"/>
              </w:rPr>
            </w:pPr>
          </w:p>
        </w:tc>
        <w:tc>
          <w:tcPr>
            <w:tcW w:w="1228" w:type="dxa"/>
          </w:tcPr>
          <w:p w14:paraId="148939F7" w14:textId="77777777" w:rsidR="00D5207E" w:rsidRPr="001316B0" w:rsidRDefault="00D5207E" w:rsidP="002904EE">
            <w:pPr>
              <w:spacing w:after="200" w:line="360" w:lineRule="auto"/>
              <w:jc w:val="both"/>
              <w:rPr>
                <w:rFonts w:ascii="Arial" w:eastAsia="Calibri" w:hAnsi="Arial" w:cs="Arial"/>
                <w:lang w:val="en-GB"/>
              </w:rPr>
            </w:pPr>
          </w:p>
        </w:tc>
        <w:tc>
          <w:tcPr>
            <w:tcW w:w="1220" w:type="dxa"/>
          </w:tcPr>
          <w:p w14:paraId="6F81823C" w14:textId="77777777" w:rsidR="00D5207E" w:rsidRPr="001316B0" w:rsidRDefault="00D5207E" w:rsidP="002904EE">
            <w:pPr>
              <w:spacing w:after="200" w:line="360" w:lineRule="auto"/>
              <w:jc w:val="both"/>
              <w:rPr>
                <w:rFonts w:ascii="Arial" w:eastAsia="Calibri" w:hAnsi="Arial" w:cs="Arial"/>
                <w:lang w:val="en-GB"/>
              </w:rPr>
            </w:pPr>
          </w:p>
        </w:tc>
        <w:tc>
          <w:tcPr>
            <w:tcW w:w="1216" w:type="dxa"/>
          </w:tcPr>
          <w:p w14:paraId="566E18E7"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133</w:t>
            </w:r>
          </w:p>
        </w:tc>
        <w:tc>
          <w:tcPr>
            <w:tcW w:w="1220" w:type="dxa"/>
          </w:tcPr>
          <w:p w14:paraId="58BE3F57" w14:textId="77777777" w:rsidR="00D5207E" w:rsidRPr="001316B0" w:rsidRDefault="00D5207E" w:rsidP="002904EE">
            <w:pPr>
              <w:spacing w:after="200" w:line="360" w:lineRule="auto"/>
              <w:jc w:val="both"/>
              <w:rPr>
                <w:rFonts w:ascii="Arial" w:eastAsia="Calibri" w:hAnsi="Arial" w:cs="Arial"/>
                <w:lang w:val="en-GB"/>
              </w:rPr>
            </w:pPr>
          </w:p>
        </w:tc>
        <w:tc>
          <w:tcPr>
            <w:tcW w:w="1263" w:type="dxa"/>
          </w:tcPr>
          <w:p w14:paraId="1590DC40" w14:textId="77777777" w:rsidR="00D5207E" w:rsidRPr="001316B0" w:rsidRDefault="00D5207E" w:rsidP="002904EE">
            <w:pPr>
              <w:spacing w:after="200" w:line="360" w:lineRule="auto"/>
              <w:jc w:val="both"/>
              <w:rPr>
                <w:rFonts w:ascii="Arial" w:eastAsia="Calibri" w:hAnsi="Arial" w:cs="Arial"/>
                <w:lang w:val="en-GB"/>
              </w:rPr>
            </w:pPr>
          </w:p>
        </w:tc>
      </w:tr>
      <w:tr w:rsidR="009952CF" w:rsidRPr="001316B0" w14:paraId="2CE258B0" w14:textId="77777777" w:rsidTr="00E60A94">
        <w:trPr>
          <w:jc w:val="center"/>
        </w:trPr>
        <w:tc>
          <w:tcPr>
            <w:tcW w:w="1344" w:type="dxa"/>
          </w:tcPr>
          <w:p w14:paraId="4A1AE490" w14:textId="77777777" w:rsidR="00D5207E" w:rsidRPr="001316B0" w:rsidRDefault="005A0E1E" w:rsidP="009952CF">
            <w:pPr>
              <w:spacing w:after="200" w:line="360" w:lineRule="auto"/>
              <w:jc w:val="both"/>
              <w:rPr>
                <w:rFonts w:ascii="Arial" w:eastAsia="Calibri" w:hAnsi="Arial" w:cs="Arial"/>
                <w:lang w:val="en-GB"/>
              </w:rPr>
            </w:pPr>
            <w:r w:rsidRPr="001316B0">
              <w:rPr>
                <w:rFonts w:ascii="Arial" w:eastAsia="Calibri" w:hAnsi="Arial" w:cs="Arial"/>
                <w:lang w:val="en-GB"/>
              </w:rPr>
              <w:t>Agriculture</w:t>
            </w:r>
            <w:r w:rsidR="009952CF" w:rsidRPr="001316B0">
              <w:rPr>
                <w:rFonts w:ascii="Arial" w:eastAsia="Calibri" w:hAnsi="Arial" w:cs="Arial"/>
                <w:lang w:val="en-GB"/>
              </w:rPr>
              <w:t xml:space="preserve"> and Cattle Farming</w:t>
            </w:r>
          </w:p>
        </w:tc>
        <w:tc>
          <w:tcPr>
            <w:tcW w:w="1229" w:type="dxa"/>
          </w:tcPr>
          <w:p w14:paraId="04BF56D6"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347</w:t>
            </w:r>
          </w:p>
        </w:tc>
        <w:tc>
          <w:tcPr>
            <w:tcW w:w="1228" w:type="dxa"/>
          </w:tcPr>
          <w:p w14:paraId="3B730025"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487</w:t>
            </w:r>
          </w:p>
        </w:tc>
        <w:tc>
          <w:tcPr>
            <w:tcW w:w="1220" w:type="dxa"/>
          </w:tcPr>
          <w:p w14:paraId="45D97251"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41%</w:t>
            </w:r>
          </w:p>
        </w:tc>
        <w:tc>
          <w:tcPr>
            <w:tcW w:w="1216" w:type="dxa"/>
          </w:tcPr>
          <w:p w14:paraId="42037653"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730</w:t>
            </w:r>
          </w:p>
        </w:tc>
        <w:tc>
          <w:tcPr>
            <w:tcW w:w="1220" w:type="dxa"/>
          </w:tcPr>
          <w:p w14:paraId="19DF3362"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50%</w:t>
            </w:r>
          </w:p>
        </w:tc>
        <w:tc>
          <w:tcPr>
            <w:tcW w:w="1263" w:type="dxa"/>
          </w:tcPr>
          <w:p w14:paraId="22C2F94A" w14:textId="77777777" w:rsidR="00D5207E" w:rsidRPr="001316B0" w:rsidRDefault="00D5207E" w:rsidP="002904EE">
            <w:pPr>
              <w:spacing w:after="200" w:line="360" w:lineRule="auto"/>
              <w:jc w:val="both"/>
              <w:rPr>
                <w:rFonts w:ascii="Arial" w:eastAsia="Calibri" w:hAnsi="Arial" w:cs="Arial"/>
                <w:lang w:val="en-GB"/>
              </w:rPr>
            </w:pPr>
          </w:p>
        </w:tc>
      </w:tr>
      <w:tr w:rsidR="009952CF" w:rsidRPr="001316B0" w14:paraId="564FEB3B" w14:textId="77777777" w:rsidTr="00E60A94">
        <w:trPr>
          <w:jc w:val="center"/>
        </w:trPr>
        <w:tc>
          <w:tcPr>
            <w:tcW w:w="1344" w:type="dxa"/>
          </w:tcPr>
          <w:p w14:paraId="02711263" w14:textId="77777777" w:rsidR="00D5207E" w:rsidRPr="001316B0" w:rsidRDefault="00D5207E" w:rsidP="009952CF">
            <w:pPr>
              <w:spacing w:after="200" w:line="360" w:lineRule="auto"/>
              <w:jc w:val="both"/>
              <w:rPr>
                <w:rFonts w:ascii="Arial" w:eastAsia="Calibri" w:hAnsi="Arial" w:cs="Arial"/>
                <w:lang w:val="en-GB"/>
              </w:rPr>
            </w:pPr>
            <w:r w:rsidRPr="001316B0">
              <w:rPr>
                <w:rFonts w:ascii="Arial" w:eastAsia="Calibri" w:hAnsi="Arial" w:cs="Arial"/>
                <w:lang w:val="en-GB"/>
              </w:rPr>
              <w:t>Energ</w:t>
            </w:r>
            <w:r w:rsidR="009952CF" w:rsidRPr="001316B0">
              <w:rPr>
                <w:rFonts w:ascii="Arial" w:eastAsia="Calibri" w:hAnsi="Arial" w:cs="Arial"/>
                <w:lang w:val="en-GB"/>
              </w:rPr>
              <w:t>y</w:t>
            </w:r>
          </w:p>
        </w:tc>
        <w:tc>
          <w:tcPr>
            <w:tcW w:w="1229" w:type="dxa"/>
          </w:tcPr>
          <w:p w14:paraId="46DB0727"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215</w:t>
            </w:r>
          </w:p>
        </w:tc>
        <w:tc>
          <w:tcPr>
            <w:tcW w:w="1228" w:type="dxa"/>
          </w:tcPr>
          <w:p w14:paraId="5BAE3CEF"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362</w:t>
            </w:r>
          </w:p>
        </w:tc>
        <w:tc>
          <w:tcPr>
            <w:tcW w:w="1220" w:type="dxa"/>
          </w:tcPr>
          <w:p w14:paraId="46647E88"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68%</w:t>
            </w:r>
          </w:p>
        </w:tc>
        <w:tc>
          <w:tcPr>
            <w:tcW w:w="1216" w:type="dxa"/>
          </w:tcPr>
          <w:p w14:paraId="1856FBDA"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868</w:t>
            </w:r>
          </w:p>
        </w:tc>
        <w:tc>
          <w:tcPr>
            <w:tcW w:w="1220" w:type="dxa"/>
          </w:tcPr>
          <w:p w14:paraId="5C08A8DE"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140%</w:t>
            </w:r>
          </w:p>
        </w:tc>
        <w:tc>
          <w:tcPr>
            <w:tcW w:w="1263" w:type="dxa"/>
          </w:tcPr>
          <w:p w14:paraId="53434236"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234</w:t>
            </w:r>
          </w:p>
        </w:tc>
      </w:tr>
      <w:tr w:rsidR="009952CF" w:rsidRPr="001316B0" w14:paraId="26577E6F" w14:textId="77777777" w:rsidTr="00E60A94">
        <w:trPr>
          <w:jc w:val="center"/>
        </w:trPr>
        <w:tc>
          <w:tcPr>
            <w:tcW w:w="1344" w:type="dxa"/>
          </w:tcPr>
          <w:p w14:paraId="53001990" w14:textId="77777777" w:rsidR="00D5207E" w:rsidRPr="001316B0" w:rsidRDefault="009952CF" w:rsidP="009952CF">
            <w:pPr>
              <w:spacing w:after="200" w:line="360" w:lineRule="auto"/>
              <w:jc w:val="both"/>
              <w:rPr>
                <w:rFonts w:ascii="Arial" w:eastAsia="Calibri" w:hAnsi="Arial" w:cs="Arial"/>
                <w:lang w:val="en-GB"/>
              </w:rPr>
            </w:pPr>
            <w:r w:rsidRPr="001316B0">
              <w:rPr>
                <w:rFonts w:ascii="Arial" w:eastAsia="Calibri" w:hAnsi="Arial" w:cs="Arial"/>
                <w:lang w:val="en-GB"/>
              </w:rPr>
              <w:t>Industrial Processes</w:t>
            </w:r>
            <w:r w:rsidR="002B7795" w:rsidRPr="001316B0">
              <w:rPr>
                <w:rFonts w:ascii="Arial" w:eastAsia="Calibri" w:hAnsi="Arial" w:cs="Arial"/>
                <w:lang w:val="en-GB"/>
              </w:rPr>
              <w:t xml:space="preserve"> / </w:t>
            </w:r>
            <w:r w:rsidRPr="001316B0">
              <w:rPr>
                <w:rFonts w:ascii="Arial" w:eastAsia="Calibri" w:hAnsi="Arial" w:cs="Arial"/>
                <w:lang w:val="en-GB"/>
              </w:rPr>
              <w:t>Waste</w:t>
            </w:r>
          </w:p>
        </w:tc>
        <w:tc>
          <w:tcPr>
            <w:tcW w:w="1229" w:type="dxa"/>
          </w:tcPr>
          <w:p w14:paraId="45E18F11" w14:textId="77777777" w:rsidR="00D5207E" w:rsidRPr="001316B0" w:rsidRDefault="00D5207E" w:rsidP="002904EE">
            <w:pPr>
              <w:spacing w:after="200" w:line="360" w:lineRule="auto"/>
              <w:jc w:val="both"/>
              <w:rPr>
                <w:rFonts w:ascii="Arial" w:eastAsia="Calibri" w:hAnsi="Arial" w:cs="Arial"/>
                <w:lang w:val="en-GB"/>
              </w:rPr>
            </w:pPr>
          </w:p>
          <w:p w14:paraId="793A4C46"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55</w:t>
            </w:r>
          </w:p>
        </w:tc>
        <w:tc>
          <w:tcPr>
            <w:tcW w:w="1228" w:type="dxa"/>
          </w:tcPr>
          <w:p w14:paraId="4C8D161C" w14:textId="77777777" w:rsidR="00D5207E" w:rsidRPr="001316B0" w:rsidRDefault="00D5207E" w:rsidP="002904EE">
            <w:pPr>
              <w:spacing w:after="200" w:line="360" w:lineRule="auto"/>
              <w:jc w:val="both"/>
              <w:rPr>
                <w:rFonts w:ascii="Arial" w:eastAsia="Calibri" w:hAnsi="Arial" w:cs="Arial"/>
                <w:lang w:val="en-GB"/>
              </w:rPr>
            </w:pPr>
          </w:p>
          <w:p w14:paraId="5B96139A"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86</w:t>
            </w:r>
          </w:p>
        </w:tc>
        <w:tc>
          <w:tcPr>
            <w:tcW w:w="1220" w:type="dxa"/>
          </w:tcPr>
          <w:p w14:paraId="277AD636" w14:textId="77777777" w:rsidR="00D5207E" w:rsidRPr="001316B0" w:rsidRDefault="00D5207E" w:rsidP="002904EE">
            <w:pPr>
              <w:spacing w:after="200" w:line="360" w:lineRule="auto"/>
              <w:jc w:val="both"/>
              <w:rPr>
                <w:rFonts w:ascii="Arial" w:eastAsia="Calibri" w:hAnsi="Arial" w:cs="Arial"/>
                <w:lang w:val="en-GB"/>
              </w:rPr>
            </w:pPr>
          </w:p>
          <w:p w14:paraId="2E78923C"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39%</w:t>
            </w:r>
          </w:p>
        </w:tc>
        <w:tc>
          <w:tcPr>
            <w:tcW w:w="1216" w:type="dxa"/>
          </w:tcPr>
          <w:p w14:paraId="628EDF9C" w14:textId="77777777" w:rsidR="00D5207E" w:rsidRPr="001316B0" w:rsidRDefault="00D5207E" w:rsidP="002904EE">
            <w:pPr>
              <w:spacing w:after="200" w:line="360" w:lineRule="auto"/>
              <w:jc w:val="both"/>
              <w:rPr>
                <w:rFonts w:ascii="Arial" w:eastAsia="Calibri" w:hAnsi="Arial" w:cs="Arial"/>
                <w:lang w:val="en-GB"/>
              </w:rPr>
            </w:pPr>
          </w:p>
          <w:p w14:paraId="1E255F62"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234</w:t>
            </w:r>
          </w:p>
        </w:tc>
        <w:tc>
          <w:tcPr>
            <w:tcW w:w="1220" w:type="dxa"/>
          </w:tcPr>
          <w:p w14:paraId="1AC8E1CF" w14:textId="77777777" w:rsidR="00D5207E" w:rsidRPr="001316B0" w:rsidRDefault="00D5207E" w:rsidP="002904EE">
            <w:pPr>
              <w:spacing w:after="200" w:line="360" w:lineRule="auto"/>
              <w:jc w:val="both"/>
              <w:rPr>
                <w:rFonts w:ascii="Arial" w:eastAsia="Calibri" w:hAnsi="Arial" w:cs="Arial"/>
                <w:lang w:val="en-GB"/>
              </w:rPr>
            </w:pPr>
          </w:p>
          <w:p w14:paraId="278B8650"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172%</w:t>
            </w:r>
          </w:p>
        </w:tc>
        <w:tc>
          <w:tcPr>
            <w:tcW w:w="1263" w:type="dxa"/>
          </w:tcPr>
          <w:p w14:paraId="2EAC62CF" w14:textId="77777777" w:rsidR="00D5207E" w:rsidRPr="001316B0" w:rsidRDefault="00D5207E" w:rsidP="002904EE">
            <w:pPr>
              <w:spacing w:after="200" w:line="360" w:lineRule="auto"/>
              <w:jc w:val="both"/>
              <w:rPr>
                <w:rFonts w:ascii="Arial" w:eastAsia="Calibri" w:hAnsi="Arial" w:cs="Arial"/>
                <w:lang w:val="en-GB"/>
              </w:rPr>
            </w:pPr>
          </w:p>
        </w:tc>
      </w:tr>
      <w:tr w:rsidR="009952CF" w:rsidRPr="001316B0" w14:paraId="7DC8F527" w14:textId="77777777" w:rsidTr="00E60A94">
        <w:trPr>
          <w:jc w:val="center"/>
        </w:trPr>
        <w:tc>
          <w:tcPr>
            <w:tcW w:w="1344" w:type="dxa"/>
          </w:tcPr>
          <w:p w14:paraId="059A3CFF"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TOTAL</w:t>
            </w:r>
          </w:p>
        </w:tc>
        <w:tc>
          <w:tcPr>
            <w:tcW w:w="1229" w:type="dxa"/>
          </w:tcPr>
          <w:p w14:paraId="0922BFDB"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1362</w:t>
            </w:r>
          </w:p>
        </w:tc>
        <w:tc>
          <w:tcPr>
            <w:tcW w:w="1228" w:type="dxa"/>
          </w:tcPr>
          <w:p w14:paraId="1526F766"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2203</w:t>
            </w:r>
          </w:p>
        </w:tc>
        <w:tc>
          <w:tcPr>
            <w:tcW w:w="1220" w:type="dxa"/>
          </w:tcPr>
          <w:p w14:paraId="12EDB86F"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62%</w:t>
            </w:r>
          </w:p>
        </w:tc>
        <w:tc>
          <w:tcPr>
            <w:tcW w:w="1216" w:type="dxa"/>
          </w:tcPr>
          <w:p w14:paraId="44C92C87"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3236</w:t>
            </w:r>
          </w:p>
        </w:tc>
        <w:tc>
          <w:tcPr>
            <w:tcW w:w="1220" w:type="dxa"/>
          </w:tcPr>
          <w:p w14:paraId="74BE0557"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47%</w:t>
            </w:r>
          </w:p>
        </w:tc>
        <w:tc>
          <w:tcPr>
            <w:tcW w:w="1263" w:type="dxa"/>
          </w:tcPr>
          <w:p w14:paraId="38DFD3B1" w14:textId="77777777" w:rsidR="00D5207E" w:rsidRPr="001316B0" w:rsidRDefault="00D5207E" w:rsidP="002904EE">
            <w:pPr>
              <w:spacing w:after="200" w:line="360" w:lineRule="auto"/>
              <w:jc w:val="both"/>
              <w:rPr>
                <w:rFonts w:ascii="Arial" w:eastAsia="Calibri" w:hAnsi="Arial" w:cs="Arial"/>
                <w:lang w:val="en-GB"/>
              </w:rPr>
            </w:pPr>
            <w:r w:rsidRPr="001316B0">
              <w:rPr>
                <w:rFonts w:ascii="Arial" w:eastAsia="Calibri" w:hAnsi="Arial" w:cs="Arial"/>
                <w:lang w:val="en-GB"/>
              </w:rPr>
              <w:t>1168 to 1259</w:t>
            </w:r>
          </w:p>
        </w:tc>
      </w:tr>
    </w:tbl>
    <w:p w14:paraId="2171E0CA" w14:textId="77777777" w:rsidR="00D5207E" w:rsidRPr="001316B0" w:rsidRDefault="00F45646" w:rsidP="002904EE">
      <w:pPr>
        <w:spacing w:after="200" w:line="360" w:lineRule="auto"/>
        <w:jc w:val="both"/>
        <w:rPr>
          <w:rFonts w:ascii="Arial" w:eastAsia="Calibri" w:hAnsi="Arial" w:cs="Arial"/>
          <w:lang w:val="en-GB"/>
        </w:rPr>
      </w:pPr>
      <w:r w:rsidRPr="001316B0">
        <w:rPr>
          <w:rFonts w:ascii="Arial" w:eastAsia="Calibri" w:hAnsi="Arial" w:cs="Arial"/>
          <w:lang w:val="en-GB"/>
        </w:rPr>
        <w:t>Source: MCT</w:t>
      </w:r>
      <w:r w:rsidR="005A0E1E">
        <w:rPr>
          <w:rFonts w:ascii="Arial" w:eastAsia="Calibri" w:hAnsi="Arial" w:cs="Arial"/>
          <w:lang w:val="en-GB"/>
        </w:rPr>
        <w:t xml:space="preserve"> (Ministry of Science and Technology)</w:t>
      </w:r>
      <w:r w:rsidRPr="001316B0">
        <w:rPr>
          <w:rFonts w:ascii="Arial" w:eastAsia="Calibri" w:hAnsi="Arial" w:cs="Arial"/>
          <w:lang w:val="en-GB"/>
        </w:rPr>
        <w:t>, 2010; Federal Decree</w:t>
      </w:r>
      <w:r w:rsidR="00D5207E" w:rsidRPr="001316B0">
        <w:rPr>
          <w:rFonts w:ascii="Arial" w:eastAsia="Calibri" w:hAnsi="Arial" w:cs="Arial"/>
          <w:lang w:val="en-GB"/>
        </w:rPr>
        <w:t xml:space="preserve"> 7390, </w:t>
      </w:r>
      <w:r w:rsidR="002B7795" w:rsidRPr="001316B0">
        <w:rPr>
          <w:rFonts w:ascii="Arial" w:eastAsia="Calibri" w:hAnsi="Arial" w:cs="Arial"/>
          <w:lang w:val="en-GB"/>
        </w:rPr>
        <w:t>9/12/</w:t>
      </w:r>
      <w:r w:rsidR="00D5207E" w:rsidRPr="001316B0">
        <w:rPr>
          <w:rFonts w:ascii="Arial" w:eastAsia="Calibri" w:hAnsi="Arial" w:cs="Arial"/>
          <w:lang w:val="en-GB"/>
        </w:rPr>
        <w:t>2010</w:t>
      </w:r>
    </w:p>
    <w:p w14:paraId="28C97688" w14:textId="77777777" w:rsidR="00334343" w:rsidRPr="001316B0" w:rsidRDefault="009D39AF" w:rsidP="002904EE">
      <w:pPr>
        <w:spacing w:line="360" w:lineRule="auto"/>
        <w:ind w:firstLine="708"/>
        <w:jc w:val="both"/>
        <w:rPr>
          <w:rFonts w:ascii="Arial" w:hAnsi="Arial" w:cs="Arial"/>
          <w:color w:val="000000"/>
          <w:lang w:val="en-GB"/>
        </w:rPr>
      </w:pPr>
      <w:r w:rsidRPr="001316B0">
        <w:rPr>
          <w:rFonts w:ascii="Arial" w:hAnsi="Arial" w:cs="Arial"/>
          <w:color w:val="000000"/>
          <w:lang w:val="en-GB"/>
        </w:rPr>
        <w:t>The reduction of GHG emissions in the energy sector requires special attention as emissions from fossil energy use have been growing significantly in the country, namely in the forms of petroleum by-products, natural gas and mineral coal</w:t>
      </w:r>
      <w:r w:rsidR="00537398" w:rsidRPr="001316B0">
        <w:rPr>
          <w:rFonts w:ascii="Arial" w:hAnsi="Arial" w:cs="Arial"/>
          <w:color w:val="000000"/>
          <w:lang w:val="en-GB"/>
        </w:rPr>
        <w:t xml:space="preserve">. </w:t>
      </w:r>
      <w:r w:rsidR="00F53882" w:rsidRPr="001316B0">
        <w:rPr>
          <w:rFonts w:ascii="Arial" w:hAnsi="Arial" w:cs="Arial"/>
          <w:color w:val="000000"/>
          <w:lang w:val="en-GB"/>
        </w:rPr>
        <w:t>These fuels play an essential role in the movement of modern sectors in the Brazilian economy, such as industry and transport, agriculture and residential, commercial and services sectors.</w:t>
      </w:r>
      <w:r w:rsidR="008B60B8" w:rsidRPr="001316B0">
        <w:rPr>
          <w:rFonts w:ascii="Arial" w:hAnsi="Arial" w:cs="Arial"/>
          <w:color w:val="000000"/>
          <w:lang w:val="en-GB"/>
        </w:rPr>
        <w:t xml:space="preserve"> Participation of these fuel sources has also grown in national electrical energy generation as a complement to the use of the Brazilian hydroelectric potential, which is the predominant energy source for electricity generation in the country</w:t>
      </w:r>
      <w:r w:rsidR="00537398" w:rsidRPr="001316B0">
        <w:rPr>
          <w:rFonts w:ascii="Arial" w:hAnsi="Arial" w:cs="Arial"/>
          <w:color w:val="000000"/>
          <w:lang w:val="en-GB"/>
        </w:rPr>
        <w:t xml:space="preserve">. </w:t>
      </w:r>
      <w:r w:rsidR="00DC573F" w:rsidRPr="001316B0">
        <w:rPr>
          <w:rFonts w:ascii="Arial" w:hAnsi="Arial" w:cs="Arial"/>
          <w:color w:val="000000"/>
          <w:lang w:val="en-GB"/>
        </w:rPr>
        <w:t xml:space="preserve">Consequently, greenhouse gas emissions from the use of energy, namely carbon dioxide </w:t>
      </w:r>
      <w:r w:rsidR="00537398" w:rsidRPr="001316B0">
        <w:rPr>
          <w:rFonts w:ascii="Arial" w:hAnsi="Arial" w:cs="Arial"/>
          <w:color w:val="000000"/>
          <w:lang w:val="en-GB"/>
        </w:rPr>
        <w:t>(CO</w:t>
      </w:r>
      <w:r w:rsidR="00537398" w:rsidRPr="001316B0">
        <w:rPr>
          <w:rFonts w:ascii="Arial" w:hAnsi="Arial" w:cs="Arial"/>
          <w:color w:val="000000"/>
          <w:vertAlign w:val="subscript"/>
          <w:lang w:val="en-GB"/>
        </w:rPr>
        <w:t>2</w:t>
      </w:r>
      <w:r w:rsidR="00537398" w:rsidRPr="001316B0">
        <w:rPr>
          <w:rFonts w:ascii="Arial" w:hAnsi="Arial" w:cs="Arial"/>
          <w:color w:val="000000"/>
          <w:lang w:val="en-GB"/>
        </w:rPr>
        <w:t>)</w:t>
      </w:r>
      <w:r w:rsidR="00DC573F" w:rsidRPr="001316B0">
        <w:rPr>
          <w:rFonts w:ascii="Arial" w:hAnsi="Arial" w:cs="Arial"/>
          <w:color w:val="000000"/>
          <w:lang w:val="en-GB"/>
        </w:rPr>
        <w:t xml:space="preserve"> resulting from the burning of fossil fuels, show a high sector growth rate between 1990 and</w:t>
      </w:r>
      <w:r w:rsidR="00EC0CCD" w:rsidRPr="001316B0">
        <w:rPr>
          <w:rFonts w:ascii="Arial" w:hAnsi="Arial" w:cs="Arial"/>
          <w:color w:val="000000"/>
          <w:lang w:val="en-GB"/>
        </w:rPr>
        <w:t xml:space="preserve"> 2005,</w:t>
      </w:r>
      <w:r w:rsidR="00656114" w:rsidRPr="001316B0">
        <w:rPr>
          <w:rFonts w:ascii="Arial" w:hAnsi="Arial" w:cs="Arial"/>
          <w:color w:val="000000"/>
          <w:lang w:val="en-GB"/>
        </w:rPr>
        <w:t xml:space="preserve"> </w:t>
      </w:r>
      <w:r w:rsidR="0094184F" w:rsidRPr="001316B0">
        <w:rPr>
          <w:rFonts w:ascii="Arial" w:hAnsi="Arial" w:cs="Arial"/>
          <w:color w:val="000000"/>
          <w:lang w:val="en-GB"/>
        </w:rPr>
        <w:t xml:space="preserve">reaching a peak of </w:t>
      </w:r>
      <w:r w:rsidR="00537398" w:rsidRPr="001316B0">
        <w:rPr>
          <w:rFonts w:ascii="Arial" w:hAnsi="Arial" w:cs="Arial"/>
          <w:color w:val="000000"/>
          <w:lang w:val="en-GB"/>
        </w:rPr>
        <w:t xml:space="preserve">68% </w:t>
      </w:r>
      <w:r w:rsidR="0094184F" w:rsidRPr="001316B0">
        <w:rPr>
          <w:rFonts w:ascii="Arial" w:hAnsi="Arial" w:cs="Arial"/>
          <w:color w:val="000000"/>
          <w:lang w:val="en-GB"/>
        </w:rPr>
        <w:t xml:space="preserve">above the value of </w:t>
      </w:r>
      <w:r w:rsidR="00537398" w:rsidRPr="001316B0">
        <w:rPr>
          <w:rFonts w:ascii="Arial" w:hAnsi="Arial" w:cs="Arial"/>
          <w:color w:val="000000"/>
          <w:lang w:val="en-GB"/>
        </w:rPr>
        <w:t xml:space="preserve">1990. </w:t>
      </w:r>
      <w:r w:rsidR="00FA3D8B" w:rsidRPr="001316B0">
        <w:rPr>
          <w:rFonts w:ascii="Arial" w:hAnsi="Arial" w:cs="Arial"/>
          <w:color w:val="000000"/>
          <w:lang w:val="en-GB"/>
        </w:rPr>
        <w:t xml:space="preserve">Its trend-based projection for </w:t>
      </w:r>
      <w:r w:rsidR="00DD3EC2" w:rsidRPr="001316B0">
        <w:rPr>
          <w:rFonts w:ascii="Arial" w:hAnsi="Arial" w:cs="Arial"/>
          <w:color w:val="000000"/>
          <w:lang w:val="en-GB"/>
        </w:rPr>
        <w:t xml:space="preserve">2020 </w:t>
      </w:r>
      <w:r w:rsidR="00FA3D8B" w:rsidRPr="001316B0">
        <w:rPr>
          <w:rFonts w:ascii="Arial" w:hAnsi="Arial" w:cs="Arial"/>
          <w:color w:val="000000"/>
          <w:lang w:val="en-GB"/>
        </w:rPr>
        <w:t xml:space="preserve">indicates an increase of </w:t>
      </w:r>
      <w:r w:rsidR="00DD3EC2" w:rsidRPr="001316B0">
        <w:rPr>
          <w:rFonts w:ascii="Arial" w:hAnsi="Arial" w:cs="Arial"/>
          <w:color w:val="000000"/>
          <w:lang w:val="en-GB"/>
        </w:rPr>
        <w:t xml:space="preserve">140%. </w:t>
      </w:r>
      <w:r w:rsidR="00FA3D8B" w:rsidRPr="001316B0">
        <w:rPr>
          <w:rFonts w:ascii="Arial" w:hAnsi="Arial" w:cs="Arial"/>
          <w:color w:val="000000"/>
          <w:lang w:val="en-GB"/>
        </w:rPr>
        <w:t xml:space="preserve">In fact, economic growth, increased </w:t>
      </w:r>
      <w:r w:rsidR="00FA3D8B" w:rsidRPr="001316B0">
        <w:rPr>
          <w:rFonts w:ascii="Arial" w:hAnsi="Arial" w:cs="Arial"/>
          <w:color w:val="000000"/>
          <w:lang w:val="en-GB"/>
        </w:rPr>
        <w:lastRenderedPageBreak/>
        <w:t xml:space="preserve">urbanization and the predominance of road transport in the national cargo transportation network are determining factors for the increase of fossil energy consumption and associated </w:t>
      </w:r>
      <w:r w:rsidR="00537398" w:rsidRPr="001316B0">
        <w:rPr>
          <w:rFonts w:ascii="Arial" w:hAnsi="Arial" w:cs="Arial"/>
          <w:color w:val="000000"/>
          <w:lang w:val="en-GB"/>
        </w:rPr>
        <w:t>CO</w:t>
      </w:r>
      <w:r w:rsidR="00537398" w:rsidRPr="00C67F06">
        <w:rPr>
          <w:rFonts w:ascii="Arial" w:hAnsi="Arial" w:cs="Arial"/>
          <w:color w:val="000000"/>
          <w:vertAlign w:val="subscript"/>
          <w:lang w:val="en-GB"/>
        </w:rPr>
        <w:t>2</w:t>
      </w:r>
      <w:r w:rsidR="00334343" w:rsidRPr="001316B0">
        <w:rPr>
          <w:rFonts w:ascii="Arial" w:hAnsi="Arial" w:cs="Arial"/>
          <w:color w:val="000000"/>
          <w:lang w:val="en-GB"/>
        </w:rPr>
        <w:t xml:space="preserve"> </w:t>
      </w:r>
      <w:r w:rsidR="000A3DE7" w:rsidRPr="001316B0">
        <w:rPr>
          <w:rFonts w:ascii="Arial" w:hAnsi="Arial" w:cs="Arial"/>
          <w:color w:val="000000"/>
          <w:lang w:val="en-GB"/>
        </w:rPr>
        <w:t>emissions.</w:t>
      </w:r>
      <w:r w:rsidR="00334343" w:rsidRPr="001316B0">
        <w:rPr>
          <w:rFonts w:ascii="Arial" w:hAnsi="Arial" w:cs="Arial"/>
          <w:color w:val="000000"/>
          <w:lang w:val="en-GB"/>
        </w:rPr>
        <w:t xml:space="preserve"> </w:t>
      </w:r>
    </w:p>
    <w:p w14:paraId="53D50E61" w14:textId="77777777" w:rsidR="00537398" w:rsidRPr="001316B0" w:rsidRDefault="00393FE2" w:rsidP="002904EE">
      <w:pPr>
        <w:spacing w:line="360" w:lineRule="auto"/>
        <w:ind w:firstLine="708"/>
        <w:jc w:val="both"/>
        <w:rPr>
          <w:rFonts w:ascii="Arial" w:hAnsi="Arial" w:cs="Arial"/>
          <w:color w:val="000000"/>
          <w:lang w:val="en-GB"/>
        </w:rPr>
      </w:pPr>
      <w:r w:rsidRPr="001316B0">
        <w:rPr>
          <w:rFonts w:ascii="Arial" w:hAnsi="Arial" w:cs="Arial"/>
          <w:color w:val="000000"/>
          <w:lang w:val="en-GB"/>
        </w:rPr>
        <w:t>In the long term, the country is moving in an analogous direction to the rest of the world</w:t>
      </w:r>
      <w:r w:rsidR="00F34B0E">
        <w:rPr>
          <w:rFonts w:ascii="Arial" w:hAnsi="Arial" w:cs="Arial"/>
          <w:color w:val="000000"/>
          <w:lang w:val="en-GB"/>
        </w:rPr>
        <w:t>. E</w:t>
      </w:r>
      <w:r w:rsidRPr="001316B0">
        <w:rPr>
          <w:rFonts w:ascii="Arial" w:hAnsi="Arial" w:cs="Arial"/>
          <w:color w:val="000000"/>
          <w:lang w:val="en-GB"/>
        </w:rPr>
        <w:t>xcept on rare occasions, these emissions are considered the most important in all counties because they are largely responsible for the intensification of the greenhouse effect.</w:t>
      </w:r>
      <w:r w:rsidR="00537398" w:rsidRPr="001316B0">
        <w:rPr>
          <w:rFonts w:ascii="Arial" w:hAnsi="Arial" w:cs="Arial"/>
          <w:color w:val="000000"/>
          <w:lang w:val="en-GB"/>
        </w:rPr>
        <w:t xml:space="preserve"> </w:t>
      </w:r>
      <w:r w:rsidR="006A5732" w:rsidRPr="001316B0">
        <w:rPr>
          <w:rFonts w:ascii="Arial" w:hAnsi="Arial" w:cs="Arial"/>
          <w:color w:val="000000"/>
          <w:lang w:val="en-GB"/>
        </w:rPr>
        <w:t>The anomalous Brazilian situation is caused by the excessive contribution of deforestation in total national emissions.</w:t>
      </w:r>
      <w:r w:rsidR="00356945" w:rsidRPr="001316B0">
        <w:rPr>
          <w:rFonts w:ascii="Arial" w:hAnsi="Arial" w:cs="Arial"/>
          <w:color w:val="000000"/>
          <w:lang w:val="en-GB"/>
        </w:rPr>
        <w:t xml:space="preserve"> If, as expected, these emissions are controlled in the future, the challenge will be to create a sustainable development model with a less intensive profile of fossil energy use</w:t>
      </w:r>
      <w:r w:rsidR="005A178B" w:rsidRPr="001316B0">
        <w:rPr>
          <w:rFonts w:ascii="Arial" w:hAnsi="Arial" w:cs="Arial"/>
          <w:lang w:val="en-GB"/>
        </w:rPr>
        <w:t xml:space="preserve">, </w:t>
      </w:r>
      <w:r w:rsidR="00356945" w:rsidRPr="001316B0">
        <w:rPr>
          <w:rFonts w:ascii="Arial" w:hAnsi="Arial" w:cs="Arial"/>
          <w:lang w:val="en-GB"/>
        </w:rPr>
        <w:t>that is, a society of low carbon emission</w:t>
      </w:r>
      <w:r w:rsidR="00537398" w:rsidRPr="001316B0">
        <w:rPr>
          <w:rFonts w:ascii="Arial" w:hAnsi="Arial" w:cs="Arial"/>
          <w:lang w:val="en-GB"/>
        </w:rPr>
        <w:t xml:space="preserve"> </w:t>
      </w:r>
      <w:r w:rsidR="00537398" w:rsidRPr="001316B0">
        <w:rPr>
          <w:rFonts w:ascii="Arial" w:hAnsi="Arial" w:cs="Arial"/>
          <w:color w:val="000000"/>
          <w:lang w:val="en-GB"/>
        </w:rPr>
        <w:t xml:space="preserve">(La </w:t>
      </w:r>
      <w:proofErr w:type="spellStart"/>
      <w:r w:rsidR="00537398" w:rsidRPr="001316B0">
        <w:rPr>
          <w:rFonts w:ascii="Arial" w:hAnsi="Arial" w:cs="Arial"/>
          <w:color w:val="000000"/>
          <w:lang w:val="en-GB"/>
        </w:rPr>
        <w:t>Rovere</w:t>
      </w:r>
      <w:proofErr w:type="spellEnd"/>
      <w:r w:rsidR="00537398" w:rsidRPr="001316B0">
        <w:rPr>
          <w:rFonts w:ascii="Arial" w:hAnsi="Arial" w:cs="Arial"/>
          <w:color w:val="000000"/>
          <w:lang w:val="en-GB"/>
        </w:rPr>
        <w:t>, 2009).</w:t>
      </w:r>
    </w:p>
    <w:p w14:paraId="2F958A50" w14:textId="77777777" w:rsidR="006F3215" w:rsidRPr="001316B0" w:rsidRDefault="006F3215" w:rsidP="002904EE">
      <w:pPr>
        <w:tabs>
          <w:tab w:val="decimal" w:pos="3024"/>
          <w:tab w:val="decimal" w:pos="4032"/>
          <w:tab w:val="decimal" w:pos="5040"/>
          <w:tab w:val="decimal" w:pos="5904"/>
          <w:tab w:val="decimal" w:pos="7056"/>
          <w:tab w:val="center" w:pos="8064"/>
        </w:tabs>
        <w:spacing w:line="360" w:lineRule="auto"/>
        <w:jc w:val="both"/>
        <w:rPr>
          <w:rFonts w:ascii="Calibri" w:hAnsi="Calibri" w:cs="Arial"/>
          <w:b/>
          <w:color w:val="FF0000"/>
          <w:sz w:val="22"/>
          <w:szCs w:val="22"/>
          <w:lang w:val="en-GB" w:eastAsia="pt-BR"/>
        </w:rPr>
      </w:pPr>
      <w:bookmarkStart w:id="0" w:name="_GoBack"/>
      <w:bookmarkEnd w:id="0"/>
    </w:p>
    <w:p w14:paraId="16E7E832" w14:textId="77777777" w:rsidR="00635C84" w:rsidRPr="001316B0" w:rsidRDefault="001C1CA1"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b/>
          <w:lang w:val="en-GB" w:eastAsia="pt-BR"/>
        </w:rPr>
      </w:pPr>
      <w:r w:rsidRPr="001316B0">
        <w:rPr>
          <w:rFonts w:ascii="Arial" w:hAnsi="Arial" w:cs="Arial"/>
          <w:b/>
          <w:lang w:val="en-GB" w:eastAsia="pt-BR"/>
        </w:rPr>
        <w:t>Bibliographical References</w:t>
      </w:r>
    </w:p>
    <w:p w14:paraId="59C3846E" w14:textId="77777777" w:rsidR="00635C84" w:rsidRPr="00DB7104" w:rsidRDefault="00635C84" w:rsidP="002904EE">
      <w:pPr>
        <w:tabs>
          <w:tab w:val="decimal" w:pos="3024"/>
          <w:tab w:val="decimal" w:pos="4032"/>
          <w:tab w:val="decimal" w:pos="5040"/>
          <w:tab w:val="decimal" w:pos="5904"/>
          <w:tab w:val="decimal" w:pos="7056"/>
          <w:tab w:val="center" w:pos="8064"/>
        </w:tabs>
        <w:spacing w:line="360" w:lineRule="auto"/>
        <w:jc w:val="both"/>
        <w:rPr>
          <w:rFonts w:ascii="Arial" w:hAnsi="Arial" w:cs="Arial"/>
          <w:lang w:val="pt-BR" w:eastAsia="pt-BR"/>
        </w:rPr>
      </w:pPr>
      <w:proofErr w:type="spellStart"/>
      <w:r w:rsidRPr="00950E22">
        <w:rPr>
          <w:rFonts w:ascii="Arial" w:hAnsi="Arial" w:cs="Arial"/>
          <w:lang w:val="pt-BR" w:eastAsia="pt-BR"/>
        </w:rPr>
        <w:t>Bra</w:t>
      </w:r>
      <w:r w:rsidR="001C1CA1" w:rsidRPr="00950E22">
        <w:rPr>
          <w:rFonts w:ascii="Arial" w:hAnsi="Arial" w:cs="Arial"/>
          <w:lang w:val="pt-BR" w:eastAsia="pt-BR"/>
        </w:rPr>
        <w:t>z</w:t>
      </w:r>
      <w:r w:rsidRPr="00950E22">
        <w:rPr>
          <w:rFonts w:ascii="Arial" w:hAnsi="Arial" w:cs="Arial"/>
          <w:lang w:val="pt-BR" w:eastAsia="pt-BR"/>
        </w:rPr>
        <w:t>il</w:t>
      </w:r>
      <w:proofErr w:type="spellEnd"/>
      <w:r w:rsidRPr="00950E22">
        <w:rPr>
          <w:rFonts w:ascii="Arial" w:hAnsi="Arial" w:cs="Arial"/>
          <w:lang w:val="pt-BR" w:eastAsia="pt-BR"/>
        </w:rPr>
        <w:t>. Ministério das Minas e Energia. E</w:t>
      </w:r>
      <w:r w:rsidR="003F31E3" w:rsidRPr="00950E22">
        <w:rPr>
          <w:rFonts w:ascii="Arial" w:hAnsi="Arial" w:cs="Arial"/>
          <w:lang w:val="pt-BR" w:eastAsia="pt-BR"/>
        </w:rPr>
        <w:t xml:space="preserve">mpresa de Pesquisa Energética, </w:t>
      </w:r>
      <w:r w:rsidRPr="00950E22">
        <w:rPr>
          <w:rFonts w:ascii="Arial" w:hAnsi="Arial" w:cs="Arial"/>
          <w:lang w:val="pt-BR" w:eastAsia="pt-BR"/>
        </w:rPr>
        <w:t xml:space="preserve">Balanço Energético Nacional </w:t>
      </w:r>
      <w:r w:rsidR="003F31E3" w:rsidRPr="00950E22">
        <w:rPr>
          <w:rFonts w:ascii="Arial" w:hAnsi="Arial" w:cs="Arial"/>
          <w:lang w:val="pt-BR" w:eastAsia="pt-BR"/>
        </w:rPr>
        <w:t>(</w:t>
      </w:r>
      <w:r w:rsidRPr="00950E22">
        <w:rPr>
          <w:rFonts w:ascii="Arial" w:hAnsi="Arial" w:cs="Arial"/>
          <w:lang w:val="pt-BR" w:eastAsia="pt-BR"/>
        </w:rPr>
        <w:t>2006</w:t>
      </w:r>
      <w:r w:rsidR="003F31E3" w:rsidRPr="00950E22">
        <w:rPr>
          <w:rFonts w:ascii="Arial" w:hAnsi="Arial" w:cs="Arial"/>
          <w:lang w:val="pt-BR" w:eastAsia="pt-BR"/>
        </w:rPr>
        <w:t xml:space="preserve">, ano base 2005 e 2010, ano base 2009). </w:t>
      </w:r>
      <w:r w:rsidR="003F31E3" w:rsidRPr="00DB7104">
        <w:rPr>
          <w:rFonts w:ascii="Arial" w:hAnsi="Arial" w:cs="Arial"/>
          <w:lang w:val="pt-BR" w:eastAsia="pt-BR"/>
        </w:rPr>
        <w:t>Brasília, 2010</w:t>
      </w:r>
    </w:p>
    <w:p w14:paraId="3CBC47A1" w14:textId="77777777" w:rsidR="00886B81" w:rsidRPr="00950E22" w:rsidRDefault="008423B5" w:rsidP="002904EE">
      <w:pPr>
        <w:autoSpaceDE w:val="0"/>
        <w:autoSpaceDN w:val="0"/>
        <w:adjustRightInd w:val="0"/>
        <w:spacing w:line="360" w:lineRule="auto"/>
        <w:jc w:val="both"/>
        <w:rPr>
          <w:rFonts w:ascii="Arial" w:hAnsi="Arial" w:cs="Arial"/>
          <w:lang w:val="pt-BR" w:eastAsia="pt-BR"/>
        </w:rPr>
      </w:pPr>
      <w:proofErr w:type="spellStart"/>
      <w:r w:rsidRPr="00950E22">
        <w:rPr>
          <w:rFonts w:ascii="Arial" w:hAnsi="Arial" w:cs="Arial"/>
          <w:lang w:val="pt-BR" w:eastAsia="pt-BR"/>
        </w:rPr>
        <w:t>Braz</w:t>
      </w:r>
      <w:r w:rsidR="003F31E3" w:rsidRPr="00950E22">
        <w:rPr>
          <w:rFonts w:ascii="Arial" w:hAnsi="Arial" w:cs="Arial"/>
          <w:lang w:val="pt-BR" w:eastAsia="pt-BR"/>
        </w:rPr>
        <w:t>il</w:t>
      </w:r>
      <w:proofErr w:type="spellEnd"/>
      <w:r w:rsidR="003F31E3" w:rsidRPr="00950E22">
        <w:rPr>
          <w:rFonts w:ascii="Arial" w:hAnsi="Arial" w:cs="Arial"/>
          <w:lang w:val="pt-BR" w:eastAsia="pt-BR"/>
        </w:rPr>
        <w:t>. Ministério das Minas e Energia. Empresa de Pesquisa Energética</w:t>
      </w:r>
      <w:r w:rsidR="00886B81" w:rsidRPr="00950E22">
        <w:rPr>
          <w:rFonts w:ascii="Arial" w:hAnsi="Arial" w:cs="Arial"/>
          <w:lang w:val="pt-BR" w:eastAsia="pt-BR"/>
        </w:rPr>
        <w:t>. Plano Dec</w:t>
      </w:r>
      <w:r w:rsidR="003F31E3" w:rsidRPr="00950E22">
        <w:rPr>
          <w:rFonts w:ascii="Arial" w:hAnsi="Arial" w:cs="Arial"/>
          <w:lang w:val="pt-BR" w:eastAsia="pt-BR"/>
        </w:rPr>
        <w:t>enal de Expansão de Energia 2010</w:t>
      </w:r>
      <w:r w:rsidR="00886B81" w:rsidRPr="00950E22">
        <w:rPr>
          <w:rFonts w:ascii="Arial" w:hAnsi="Arial" w:cs="Arial"/>
          <w:lang w:val="pt-BR" w:eastAsia="pt-BR"/>
        </w:rPr>
        <w:t xml:space="preserve"> - </w:t>
      </w:r>
      <w:r w:rsidR="003F31E3" w:rsidRPr="00950E22">
        <w:rPr>
          <w:rFonts w:ascii="Arial" w:hAnsi="Arial" w:cs="Arial"/>
          <w:lang w:val="pt-BR" w:eastAsia="pt-BR"/>
        </w:rPr>
        <w:t>2019</w:t>
      </w:r>
      <w:r w:rsidR="00886B81" w:rsidRPr="00950E22">
        <w:rPr>
          <w:rFonts w:ascii="Arial" w:hAnsi="Arial" w:cs="Arial"/>
          <w:lang w:val="pt-BR" w:eastAsia="pt-BR"/>
        </w:rPr>
        <w:t xml:space="preserve">. Secretaria de Planejamento e Desenvolvimento Energético Brasil / Empresa de Pesquisa Energética. Rio </w:t>
      </w:r>
      <w:r w:rsidR="003F31E3" w:rsidRPr="00950E22">
        <w:rPr>
          <w:rFonts w:ascii="Arial" w:hAnsi="Arial" w:cs="Arial"/>
          <w:lang w:val="pt-BR" w:eastAsia="pt-BR"/>
        </w:rPr>
        <w:t>de Janeiro: EPE, 2010</w:t>
      </w:r>
      <w:r w:rsidR="00886B81" w:rsidRPr="00950E22">
        <w:rPr>
          <w:rFonts w:ascii="Arial" w:hAnsi="Arial" w:cs="Arial"/>
          <w:lang w:val="pt-BR" w:eastAsia="pt-BR"/>
        </w:rPr>
        <w:t>.</w:t>
      </w:r>
    </w:p>
    <w:p w14:paraId="1E14B2E6" w14:textId="77777777" w:rsidR="00A14913" w:rsidRPr="00950E22" w:rsidRDefault="00A14913" w:rsidP="002904EE">
      <w:pPr>
        <w:spacing w:line="360" w:lineRule="auto"/>
        <w:jc w:val="both"/>
        <w:rPr>
          <w:rFonts w:ascii="Arial" w:eastAsia="Calibri" w:hAnsi="Arial" w:cs="Arial"/>
          <w:lang w:val="pt-BR"/>
        </w:rPr>
      </w:pPr>
      <w:r w:rsidRPr="00950E22">
        <w:rPr>
          <w:rFonts w:ascii="Arial" w:eastAsia="Calibri" w:hAnsi="Arial" w:cs="Arial"/>
          <w:lang w:val="pt-BR"/>
        </w:rPr>
        <w:t xml:space="preserve">Instituto Nacional de Pesquisas Espaciais – INPE; Dados do PRODES sobre o desmatamento da Amazônia, </w:t>
      </w:r>
      <w:hyperlink r:id="rId8" w:history="1">
        <w:r w:rsidRPr="00950E22">
          <w:rPr>
            <w:rFonts w:ascii="Arial" w:eastAsia="Calibri" w:hAnsi="Arial" w:cs="Arial"/>
            <w:u w:val="single"/>
            <w:lang w:val="pt-BR"/>
          </w:rPr>
          <w:t>www.obt.inpe.br/prodes</w:t>
        </w:r>
      </w:hyperlink>
      <w:r w:rsidRPr="00950E22">
        <w:rPr>
          <w:rFonts w:ascii="Arial" w:eastAsia="Calibri" w:hAnsi="Arial" w:cs="Arial"/>
          <w:lang w:val="pt-BR"/>
        </w:rPr>
        <w:t>, acesso em 14/02/2011</w:t>
      </w:r>
    </w:p>
    <w:p w14:paraId="1B1FD901" w14:textId="77777777" w:rsidR="00D57F1F" w:rsidRPr="00950E22" w:rsidRDefault="00D57F1F" w:rsidP="002904EE">
      <w:pPr>
        <w:widowControl w:val="0"/>
        <w:tabs>
          <w:tab w:val="left" w:pos="0"/>
        </w:tabs>
        <w:autoSpaceDE w:val="0"/>
        <w:autoSpaceDN w:val="0"/>
        <w:adjustRightInd w:val="0"/>
        <w:spacing w:line="360" w:lineRule="auto"/>
        <w:jc w:val="both"/>
        <w:rPr>
          <w:rFonts w:ascii="Arial" w:hAnsi="Arial" w:cs="Arial"/>
          <w:lang w:val="pt-BR" w:eastAsia="pt-BR"/>
        </w:rPr>
      </w:pPr>
      <w:r w:rsidRPr="00950E22">
        <w:rPr>
          <w:rFonts w:ascii="Arial" w:hAnsi="Arial" w:cs="Arial"/>
          <w:lang w:val="pt-BR" w:eastAsia="pt-BR"/>
        </w:rPr>
        <w:t xml:space="preserve">La </w:t>
      </w:r>
      <w:proofErr w:type="spellStart"/>
      <w:r w:rsidRPr="00950E22">
        <w:rPr>
          <w:rFonts w:ascii="Arial" w:hAnsi="Arial" w:cs="Arial"/>
          <w:lang w:val="pt-BR" w:eastAsia="pt-BR"/>
        </w:rPr>
        <w:t>Rovere</w:t>
      </w:r>
      <w:proofErr w:type="spellEnd"/>
      <w:r w:rsidRPr="00950E22">
        <w:rPr>
          <w:rFonts w:ascii="Arial" w:hAnsi="Arial" w:cs="Arial"/>
          <w:lang w:val="pt-BR" w:eastAsia="pt-BR"/>
        </w:rPr>
        <w:t xml:space="preserve">, E.L.; </w:t>
      </w:r>
      <w:r w:rsidRPr="00950E22">
        <w:rPr>
          <w:rFonts w:ascii="Arial" w:hAnsi="Arial" w:cs="Arial"/>
          <w:bCs/>
          <w:lang w:val="pt-BR" w:eastAsia="pt-BR"/>
        </w:rPr>
        <w:t>Perspectivas para a Mitigação das Mudanças Climáticas: Ações do Brasil e no Mundo</w:t>
      </w:r>
      <w:r w:rsidRPr="00950E22">
        <w:rPr>
          <w:rFonts w:ascii="Arial" w:hAnsi="Arial" w:cs="Arial"/>
          <w:lang w:val="pt-BR" w:eastAsia="pt-BR"/>
        </w:rPr>
        <w:t xml:space="preserve">, conferência no Instituto de Pesquisas e Relações Internacionais, Ministério das Relações Exteriores, Rio de Janeiro, 3 de dezembro de 2009.  </w:t>
      </w:r>
    </w:p>
    <w:p w14:paraId="2FD4BEBA" w14:textId="77777777" w:rsidR="003F31E3" w:rsidRPr="001316B0" w:rsidRDefault="003F31E3" w:rsidP="002904EE">
      <w:pPr>
        <w:autoSpaceDE w:val="0"/>
        <w:autoSpaceDN w:val="0"/>
        <w:adjustRightInd w:val="0"/>
        <w:spacing w:line="360" w:lineRule="auto"/>
        <w:jc w:val="both"/>
        <w:rPr>
          <w:rFonts w:ascii="Arial" w:hAnsi="Arial" w:cs="Arial"/>
          <w:bCs/>
          <w:iCs/>
          <w:lang w:val="en-GB" w:eastAsia="pt-BR"/>
        </w:rPr>
      </w:pPr>
      <w:r w:rsidRPr="001316B0">
        <w:rPr>
          <w:rFonts w:ascii="Arial" w:hAnsi="Arial" w:cs="Arial"/>
          <w:lang w:val="en-GB" w:eastAsia="pt-BR"/>
        </w:rPr>
        <w:t xml:space="preserve">La </w:t>
      </w:r>
      <w:proofErr w:type="spellStart"/>
      <w:r w:rsidRPr="001316B0">
        <w:rPr>
          <w:rFonts w:ascii="Arial" w:hAnsi="Arial" w:cs="Arial"/>
          <w:lang w:val="en-GB" w:eastAsia="pt-BR"/>
        </w:rPr>
        <w:t>Rovere</w:t>
      </w:r>
      <w:proofErr w:type="spellEnd"/>
      <w:r w:rsidRPr="001316B0">
        <w:rPr>
          <w:rFonts w:ascii="Arial" w:hAnsi="Arial" w:cs="Arial"/>
          <w:lang w:val="en-GB" w:eastAsia="pt-BR"/>
        </w:rPr>
        <w:t xml:space="preserve">, E.L.; </w:t>
      </w:r>
      <w:proofErr w:type="spellStart"/>
      <w:r w:rsidRPr="001316B0">
        <w:rPr>
          <w:rFonts w:ascii="Arial" w:hAnsi="Arial" w:cs="Arial"/>
          <w:lang w:val="en-GB" w:eastAsia="pt-BR"/>
        </w:rPr>
        <w:t>Goodward</w:t>
      </w:r>
      <w:proofErr w:type="spellEnd"/>
      <w:r w:rsidRPr="001316B0">
        <w:rPr>
          <w:rFonts w:ascii="Arial" w:hAnsi="Arial" w:cs="Arial"/>
          <w:lang w:val="en-GB" w:eastAsia="pt-BR"/>
        </w:rPr>
        <w:t>, J.</w:t>
      </w:r>
      <w:r w:rsidR="00D57F1F" w:rsidRPr="001316B0">
        <w:rPr>
          <w:rFonts w:ascii="Arial" w:hAnsi="Arial" w:cs="Arial"/>
          <w:lang w:val="en-GB" w:eastAsia="pt-BR"/>
        </w:rPr>
        <w:t xml:space="preserve">; </w:t>
      </w:r>
      <w:r w:rsidRPr="001316B0">
        <w:rPr>
          <w:rFonts w:ascii="Arial" w:hAnsi="Arial" w:cs="Arial"/>
          <w:bCs/>
          <w:lang w:val="en-GB" w:eastAsia="pt-BR"/>
        </w:rPr>
        <w:t xml:space="preserve">Renewable energy technology development and transfer: The case of wind energy deployment in Brazil. </w:t>
      </w:r>
      <w:proofErr w:type="gramStart"/>
      <w:r w:rsidRPr="001316B0">
        <w:rPr>
          <w:rFonts w:ascii="Arial" w:hAnsi="Arial" w:cs="Arial"/>
          <w:bCs/>
          <w:iCs/>
          <w:lang w:val="en-GB" w:eastAsia="pt-BR"/>
        </w:rPr>
        <w:t>1st Annual Meeting of the International Research Network for Low Carbon Societies (LCS-</w:t>
      </w:r>
      <w:proofErr w:type="spellStart"/>
      <w:r w:rsidRPr="001316B0">
        <w:rPr>
          <w:rFonts w:ascii="Arial" w:hAnsi="Arial" w:cs="Arial"/>
          <w:bCs/>
          <w:iCs/>
          <w:lang w:val="en-GB" w:eastAsia="pt-BR"/>
        </w:rPr>
        <w:t>RNet</w:t>
      </w:r>
      <w:proofErr w:type="spellEnd"/>
      <w:r w:rsidRPr="001316B0">
        <w:rPr>
          <w:rFonts w:ascii="Arial" w:hAnsi="Arial" w:cs="Arial"/>
          <w:bCs/>
          <w:iCs/>
          <w:lang w:val="en-GB" w:eastAsia="pt-BR"/>
        </w:rPr>
        <w:t>), Bologna, Italy.</w:t>
      </w:r>
      <w:proofErr w:type="gramEnd"/>
      <w:r w:rsidRPr="001316B0">
        <w:rPr>
          <w:rFonts w:ascii="Arial" w:hAnsi="Arial" w:cs="Arial"/>
          <w:bCs/>
          <w:iCs/>
          <w:lang w:val="en-GB" w:eastAsia="pt-BR"/>
        </w:rPr>
        <w:t xml:space="preserve"> 12-13 October, 2009.</w:t>
      </w:r>
    </w:p>
    <w:p w14:paraId="0FA5A45D" w14:textId="77777777" w:rsidR="00D5207E" w:rsidRPr="00950E22" w:rsidRDefault="00D5207E" w:rsidP="002904EE">
      <w:pPr>
        <w:widowControl w:val="0"/>
        <w:autoSpaceDE w:val="0"/>
        <w:autoSpaceDN w:val="0"/>
        <w:adjustRightInd w:val="0"/>
        <w:spacing w:line="360" w:lineRule="auto"/>
        <w:jc w:val="both"/>
        <w:rPr>
          <w:rFonts w:ascii="Arial" w:eastAsia="Calibri" w:hAnsi="Arial" w:cs="Arial"/>
          <w:lang w:val="pt-BR"/>
        </w:rPr>
      </w:pPr>
      <w:r w:rsidRPr="001316B0">
        <w:rPr>
          <w:rFonts w:ascii="Arial" w:hAnsi="Arial" w:cs="Arial"/>
          <w:color w:val="000000"/>
          <w:lang w:val="en-GB" w:eastAsia="pt-BR"/>
        </w:rPr>
        <w:t>MCT, 2010</w:t>
      </w:r>
      <w:r w:rsidR="000F6AD8" w:rsidRPr="001316B0">
        <w:rPr>
          <w:rFonts w:ascii="Arial" w:hAnsi="Arial" w:cs="Arial"/>
          <w:color w:val="000000"/>
          <w:lang w:val="en-GB" w:eastAsia="pt-BR"/>
        </w:rPr>
        <w:t xml:space="preserve">; </w:t>
      </w:r>
      <w:r w:rsidRPr="001316B0">
        <w:rPr>
          <w:rFonts w:ascii="Arial" w:eastAsia="Calibri" w:hAnsi="Arial" w:cs="Arial"/>
          <w:lang w:val="en-GB"/>
        </w:rPr>
        <w:t xml:space="preserve">Brazil’s Second National Communication to the United Nations Framework Convention on Climate Change. </w:t>
      </w:r>
      <w:proofErr w:type="spellStart"/>
      <w:r w:rsidRPr="00950E22">
        <w:rPr>
          <w:rFonts w:ascii="Arial" w:eastAsia="Calibri" w:hAnsi="Arial" w:cs="Arial"/>
          <w:lang w:val="pt-BR"/>
        </w:rPr>
        <w:t>Ministry</w:t>
      </w:r>
      <w:proofErr w:type="spellEnd"/>
      <w:r w:rsidRPr="00950E22">
        <w:rPr>
          <w:rFonts w:ascii="Arial" w:eastAsia="Calibri" w:hAnsi="Arial" w:cs="Arial"/>
          <w:lang w:val="pt-BR"/>
        </w:rPr>
        <w:t xml:space="preserve"> </w:t>
      </w:r>
      <w:proofErr w:type="spellStart"/>
      <w:r w:rsidRPr="00950E22">
        <w:rPr>
          <w:rFonts w:ascii="Arial" w:eastAsia="Calibri" w:hAnsi="Arial" w:cs="Arial"/>
          <w:lang w:val="pt-BR"/>
        </w:rPr>
        <w:t>of</w:t>
      </w:r>
      <w:proofErr w:type="spellEnd"/>
      <w:r w:rsidRPr="00950E22">
        <w:rPr>
          <w:rFonts w:ascii="Arial" w:eastAsia="Calibri" w:hAnsi="Arial" w:cs="Arial"/>
          <w:lang w:val="pt-BR"/>
        </w:rPr>
        <w:t xml:space="preserve"> Science </w:t>
      </w:r>
      <w:proofErr w:type="spellStart"/>
      <w:r w:rsidRPr="00950E22">
        <w:rPr>
          <w:rFonts w:ascii="Arial" w:eastAsia="Calibri" w:hAnsi="Arial" w:cs="Arial"/>
          <w:lang w:val="pt-BR"/>
        </w:rPr>
        <w:t>and</w:t>
      </w:r>
      <w:proofErr w:type="spellEnd"/>
      <w:r w:rsidRPr="00950E22">
        <w:rPr>
          <w:rFonts w:ascii="Arial" w:eastAsia="Calibri" w:hAnsi="Arial" w:cs="Arial"/>
          <w:lang w:val="pt-BR"/>
        </w:rPr>
        <w:t xml:space="preserve"> Technology. Brasília, </w:t>
      </w:r>
      <w:proofErr w:type="spellStart"/>
      <w:r w:rsidRPr="00950E22">
        <w:rPr>
          <w:rFonts w:ascii="Arial" w:eastAsia="Calibri" w:hAnsi="Arial" w:cs="Arial"/>
          <w:lang w:val="pt-BR"/>
        </w:rPr>
        <w:t>November</w:t>
      </w:r>
      <w:proofErr w:type="spellEnd"/>
      <w:r w:rsidRPr="00950E22">
        <w:rPr>
          <w:rFonts w:ascii="Arial" w:eastAsia="Calibri" w:hAnsi="Arial" w:cs="Arial"/>
          <w:lang w:val="pt-BR"/>
        </w:rPr>
        <w:t xml:space="preserve"> 2010 </w:t>
      </w:r>
    </w:p>
    <w:p w14:paraId="609F3F80" w14:textId="77777777" w:rsidR="003F31E3" w:rsidRPr="00950E22" w:rsidRDefault="003F31E3" w:rsidP="002904EE">
      <w:pPr>
        <w:widowControl w:val="0"/>
        <w:tabs>
          <w:tab w:val="left" w:pos="0"/>
        </w:tabs>
        <w:autoSpaceDE w:val="0"/>
        <w:autoSpaceDN w:val="0"/>
        <w:adjustRightInd w:val="0"/>
        <w:spacing w:line="360" w:lineRule="auto"/>
        <w:jc w:val="both"/>
        <w:rPr>
          <w:rFonts w:ascii="Arial" w:hAnsi="Arial" w:cs="Arial"/>
          <w:lang w:val="pt-BR" w:eastAsia="pt-BR"/>
        </w:rPr>
      </w:pPr>
      <w:proofErr w:type="spellStart"/>
      <w:r w:rsidRPr="00950E22">
        <w:rPr>
          <w:rFonts w:ascii="Arial" w:hAnsi="Arial" w:cs="Arial"/>
          <w:lang w:val="pt-BR" w:eastAsia="pt-BR"/>
        </w:rPr>
        <w:lastRenderedPageBreak/>
        <w:t>Westin</w:t>
      </w:r>
      <w:proofErr w:type="spellEnd"/>
      <w:r w:rsidRPr="00950E22">
        <w:rPr>
          <w:rFonts w:ascii="Arial" w:hAnsi="Arial" w:cs="Arial"/>
          <w:lang w:val="pt-BR" w:eastAsia="pt-BR"/>
        </w:rPr>
        <w:t xml:space="preserve">, Fernanda Fortes, La </w:t>
      </w:r>
      <w:proofErr w:type="spellStart"/>
      <w:r w:rsidRPr="00950E22">
        <w:rPr>
          <w:rFonts w:ascii="Arial" w:hAnsi="Arial" w:cs="Arial"/>
          <w:lang w:val="pt-BR" w:eastAsia="pt-BR"/>
        </w:rPr>
        <w:t>Rovere</w:t>
      </w:r>
      <w:proofErr w:type="spellEnd"/>
      <w:r w:rsidRPr="00950E22">
        <w:rPr>
          <w:rFonts w:ascii="Arial" w:hAnsi="Arial" w:cs="Arial"/>
          <w:lang w:val="pt-BR" w:eastAsia="pt-BR"/>
        </w:rPr>
        <w:t xml:space="preserve">, E. L., </w:t>
      </w:r>
      <w:proofErr w:type="spellStart"/>
      <w:r w:rsidRPr="00950E22">
        <w:rPr>
          <w:rFonts w:ascii="Arial" w:hAnsi="Arial" w:cs="Arial"/>
          <w:lang w:val="pt-BR" w:eastAsia="pt-BR"/>
        </w:rPr>
        <w:t>Wills</w:t>
      </w:r>
      <w:proofErr w:type="spellEnd"/>
      <w:r w:rsidRPr="00950E22">
        <w:rPr>
          <w:rFonts w:ascii="Arial" w:hAnsi="Arial" w:cs="Arial"/>
          <w:lang w:val="pt-BR" w:eastAsia="pt-BR"/>
        </w:rPr>
        <w:t xml:space="preserve">, W., </w:t>
      </w:r>
      <w:proofErr w:type="spellStart"/>
      <w:r w:rsidRPr="00950E22">
        <w:rPr>
          <w:rFonts w:ascii="Arial" w:hAnsi="Arial" w:cs="Arial"/>
          <w:lang w:val="pt-BR" w:eastAsia="pt-BR"/>
        </w:rPr>
        <w:t>Goodward</w:t>
      </w:r>
      <w:proofErr w:type="spellEnd"/>
      <w:r w:rsidRPr="00950E22">
        <w:rPr>
          <w:rFonts w:ascii="Arial" w:hAnsi="Arial" w:cs="Arial"/>
          <w:lang w:val="pt-BR" w:eastAsia="pt-BR"/>
        </w:rPr>
        <w:t>, J.; Panorama Atual da Energia Eólica e Perspectivas para o Brasil In: Anais do XIII Congresso Brasileiro de Energia, Rio de Janeiro: COPPE/UFRJ, 2010. v.II, p. 551 - 566</w:t>
      </w:r>
    </w:p>
    <w:sectPr w:rsidR="003F31E3" w:rsidRPr="00950E22" w:rsidSect="00B83B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11BD" w14:textId="77777777" w:rsidR="003A04AD" w:rsidRDefault="003A04AD" w:rsidP="00A14913">
      <w:r>
        <w:separator/>
      </w:r>
    </w:p>
  </w:endnote>
  <w:endnote w:type="continuationSeparator" w:id="0">
    <w:p w14:paraId="0649B086" w14:textId="77777777" w:rsidR="003A04AD" w:rsidRDefault="003A04AD" w:rsidP="00A1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408C9" w14:textId="77777777" w:rsidR="003A04AD" w:rsidRDefault="003A04AD" w:rsidP="00A14913">
      <w:r>
        <w:separator/>
      </w:r>
    </w:p>
  </w:footnote>
  <w:footnote w:type="continuationSeparator" w:id="0">
    <w:p w14:paraId="37791E37" w14:textId="77777777" w:rsidR="003A04AD" w:rsidRDefault="003A04AD" w:rsidP="00A14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3E72" w14:textId="77777777" w:rsidR="00014188" w:rsidRDefault="00047C2D">
    <w:pPr>
      <w:pStyle w:val="Header"/>
      <w:jc w:val="right"/>
    </w:pPr>
    <w:r>
      <w:fldChar w:fldCharType="begin"/>
    </w:r>
    <w:r>
      <w:instrText xml:space="preserve"> PAGE   \* M</w:instrText>
    </w:r>
    <w:r>
      <w:instrText xml:space="preserve">ERGEFORMAT </w:instrText>
    </w:r>
    <w:r>
      <w:fldChar w:fldCharType="separate"/>
    </w:r>
    <w:r>
      <w:rPr>
        <w:noProof/>
      </w:rPr>
      <w:t>15</w:t>
    </w:r>
    <w:r>
      <w:rPr>
        <w:noProof/>
      </w:rPr>
      <w:fldChar w:fldCharType="end"/>
    </w:r>
  </w:p>
  <w:p w14:paraId="1DD08717" w14:textId="77777777" w:rsidR="00014188" w:rsidRDefault="000141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7BBF"/>
    <w:multiLevelType w:val="hybridMultilevel"/>
    <w:tmpl w:val="3204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0F"/>
    <w:rsid w:val="00000BB6"/>
    <w:rsid w:val="000135C3"/>
    <w:rsid w:val="00014188"/>
    <w:rsid w:val="00016AE7"/>
    <w:rsid w:val="0002704E"/>
    <w:rsid w:val="00047C2D"/>
    <w:rsid w:val="000517A8"/>
    <w:rsid w:val="00051D4D"/>
    <w:rsid w:val="0005404F"/>
    <w:rsid w:val="000635E0"/>
    <w:rsid w:val="00064F15"/>
    <w:rsid w:val="00070D65"/>
    <w:rsid w:val="00071CB3"/>
    <w:rsid w:val="0007575C"/>
    <w:rsid w:val="00075EA9"/>
    <w:rsid w:val="00075EF8"/>
    <w:rsid w:val="000827C8"/>
    <w:rsid w:val="00090932"/>
    <w:rsid w:val="000A0488"/>
    <w:rsid w:val="000A3332"/>
    <w:rsid w:val="000A36D9"/>
    <w:rsid w:val="000A3DE7"/>
    <w:rsid w:val="000A472A"/>
    <w:rsid w:val="000B302C"/>
    <w:rsid w:val="000B732C"/>
    <w:rsid w:val="000C660A"/>
    <w:rsid w:val="000C6953"/>
    <w:rsid w:val="000D049E"/>
    <w:rsid w:val="000F6808"/>
    <w:rsid w:val="000F6AD8"/>
    <w:rsid w:val="00103406"/>
    <w:rsid w:val="001060C5"/>
    <w:rsid w:val="00106AC9"/>
    <w:rsid w:val="001131B6"/>
    <w:rsid w:val="00122AB8"/>
    <w:rsid w:val="00122CA9"/>
    <w:rsid w:val="0012419B"/>
    <w:rsid w:val="001316B0"/>
    <w:rsid w:val="00131E49"/>
    <w:rsid w:val="001366B5"/>
    <w:rsid w:val="00137DC0"/>
    <w:rsid w:val="001467F0"/>
    <w:rsid w:val="00152856"/>
    <w:rsid w:val="00154DB7"/>
    <w:rsid w:val="00156271"/>
    <w:rsid w:val="00164342"/>
    <w:rsid w:val="0016567B"/>
    <w:rsid w:val="0017151A"/>
    <w:rsid w:val="001804B8"/>
    <w:rsid w:val="00180B96"/>
    <w:rsid w:val="0018413D"/>
    <w:rsid w:val="001920D5"/>
    <w:rsid w:val="00194FF3"/>
    <w:rsid w:val="00197218"/>
    <w:rsid w:val="001973A1"/>
    <w:rsid w:val="001A056F"/>
    <w:rsid w:val="001B24EA"/>
    <w:rsid w:val="001B45A9"/>
    <w:rsid w:val="001C1B5A"/>
    <w:rsid w:val="001C1CA1"/>
    <w:rsid w:val="001C4F84"/>
    <w:rsid w:val="001D1D47"/>
    <w:rsid w:val="001D5723"/>
    <w:rsid w:val="001E082A"/>
    <w:rsid w:val="001E48EF"/>
    <w:rsid w:val="001E5FDF"/>
    <w:rsid w:val="001E6B5A"/>
    <w:rsid w:val="001F2A98"/>
    <w:rsid w:val="001F3747"/>
    <w:rsid w:val="001F69FA"/>
    <w:rsid w:val="00206BB7"/>
    <w:rsid w:val="00210427"/>
    <w:rsid w:val="00217A93"/>
    <w:rsid w:val="00217C87"/>
    <w:rsid w:val="00221F36"/>
    <w:rsid w:val="00222BDC"/>
    <w:rsid w:val="00225629"/>
    <w:rsid w:val="002277BF"/>
    <w:rsid w:val="00232763"/>
    <w:rsid w:val="002407E0"/>
    <w:rsid w:val="00251A93"/>
    <w:rsid w:val="00270C57"/>
    <w:rsid w:val="00275D4A"/>
    <w:rsid w:val="00275FB8"/>
    <w:rsid w:val="00280D3D"/>
    <w:rsid w:val="0028318E"/>
    <w:rsid w:val="002834DE"/>
    <w:rsid w:val="002904EE"/>
    <w:rsid w:val="00291195"/>
    <w:rsid w:val="0029642A"/>
    <w:rsid w:val="002A0023"/>
    <w:rsid w:val="002B7795"/>
    <w:rsid w:val="002C5FB8"/>
    <w:rsid w:val="002C5FE0"/>
    <w:rsid w:val="002D377A"/>
    <w:rsid w:val="002D55B1"/>
    <w:rsid w:val="002D602F"/>
    <w:rsid w:val="002E29FB"/>
    <w:rsid w:val="002E4E09"/>
    <w:rsid w:val="002E577B"/>
    <w:rsid w:val="002F3C32"/>
    <w:rsid w:val="003023CC"/>
    <w:rsid w:val="00303EBB"/>
    <w:rsid w:val="00306539"/>
    <w:rsid w:val="003164A1"/>
    <w:rsid w:val="003217FC"/>
    <w:rsid w:val="003254BC"/>
    <w:rsid w:val="00326427"/>
    <w:rsid w:val="00326915"/>
    <w:rsid w:val="00334343"/>
    <w:rsid w:val="00337B9A"/>
    <w:rsid w:val="00337C73"/>
    <w:rsid w:val="00342ACE"/>
    <w:rsid w:val="00345557"/>
    <w:rsid w:val="003455BA"/>
    <w:rsid w:val="003501CF"/>
    <w:rsid w:val="00356945"/>
    <w:rsid w:val="00361046"/>
    <w:rsid w:val="00362D0A"/>
    <w:rsid w:val="00363C8A"/>
    <w:rsid w:val="00370EA2"/>
    <w:rsid w:val="0037161B"/>
    <w:rsid w:val="0037282E"/>
    <w:rsid w:val="00373208"/>
    <w:rsid w:val="00382ABA"/>
    <w:rsid w:val="00393FE2"/>
    <w:rsid w:val="003976BA"/>
    <w:rsid w:val="003A04AD"/>
    <w:rsid w:val="003A409B"/>
    <w:rsid w:val="003A5E3D"/>
    <w:rsid w:val="003B06CD"/>
    <w:rsid w:val="003B0B61"/>
    <w:rsid w:val="003B27CF"/>
    <w:rsid w:val="003B3D96"/>
    <w:rsid w:val="003B7556"/>
    <w:rsid w:val="003C5705"/>
    <w:rsid w:val="003C5B4B"/>
    <w:rsid w:val="003D6A28"/>
    <w:rsid w:val="003D6B97"/>
    <w:rsid w:val="003F0C17"/>
    <w:rsid w:val="003F31E3"/>
    <w:rsid w:val="003F743F"/>
    <w:rsid w:val="004039B7"/>
    <w:rsid w:val="00405BE9"/>
    <w:rsid w:val="00426F6C"/>
    <w:rsid w:val="00442C40"/>
    <w:rsid w:val="0044798F"/>
    <w:rsid w:val="0045386E"/>
    <w:rsid w:val="004570B3"/>
    <w:rsid w:val="004623A0"/>
    <w:rsid w:val="00466DC0"/>
    <w:rsid w:val="00471491"/>
    <w:rsid w:val="0047697B"/>
    <w:rsid w:val="00486D10"/>
    <w:rsid w:val="004A6119"/>
    <w:rsid w:val="004B3715"/>
    <w:rsid w:val="004B3CD3"/>
    <w:rsid w:val="004B3F08"/>
    <w:rsid w:val="004B4CAE"/>
    <w:rsid w:val="004B6E09"/>
    <w:rsid w:val="004D1032"/>
    <w:rsid w:val="004D1A31"/>
    <w:rsid w:val="004D2714"/>
    <w:rsid w:val="004E07F0"/>
    <w:rsid w:val="004E354E"/>
    <w:rsid w:val="004E37D1"/>
    <w:rsid w:val="004E4FB4"/>
    <w:rsid w:val="004E6BED"/>
    <w:rsid w:val="004F2B85"/>
    <w:rsid w:val="004F2BB8"/>
    <w:rsid w:val="004F69C9"/>
    <w:rsid w:val="005012DA"/>
    <w:rsid w:val="00505F44"/>
    <w:rsid w:val="005060FE"/>
    <w:rsid w:val="0051505A"/>
    <w:rsid w:val="00522C03"/>
    <w:rsid w:val="00537398"/>
    <w:rsid w:val="005374A6"/>
    <w:rsid w:val="005547EF"/>
    <w:rsid w:val="0055666F"/>
    <w:rsid w:val="00566089"/>
    <w:rsid w:val="005670B2"/>
    <w:rsid w:val="00571684"/>
    <w:rsid w:val="00583F2A"/>
    <w:rsid w:val="00586648"/>
    <w:rsid w:val="00591798"/>
    <w:rsid w:val="005A0E1E"/>
    <w:rsid w:val="005A178B"/>
    <w:rsid w:val="005A3104"/>
    <w:rsid w:val="005A3B7D"/>
    <w:rsid w:val="005A4110"/>
    <w:rsid w:val="005B0229"/>
    <w:rsid w:val="005D5CC4"/>
    <w:rsid w:val="005E2059"/>
    <w:rsid w:val="005E6822"/>
    <w:rsid w:val="005E7853"/>
    <w:rsid w:val="005E78CC"/>
    <w:rsid w:val="005F3BB7"/>
    <w:rsid w:val="005F5A39"/>
    <w:rsid w:val="005F6D20"/>
    <w:rsid w:val="005F78C5"/>
    <w:rsid w:val="005F7DF7"/>
    <w:rsid w:val="006052C4"/>
    <w:rsid w:val="0061752A"/>
    <w:rsid w:val="0062322E"/>
    <w:rsid w:val="00627B94"/>
    <w:rsid w:val="00635C84"/>
    <w:rsid w:val="006378D1"/>
    <w:rsid w:val="00640DA4"/>
    <w:rsid w:val="0064571F"/>
    <w:rsid w:val="00646593"/>
    <w:rsid w:val="0065043F"/>
    <w:rsid w:val="00656114"/>
    <w:rsid w:val="00660723"/>
    <w:rsid w:val="00664200"/>
    <w:rsid w:val="00685F04"/>
    <w:rsid w:val="006A5732"/>
    <w:rsid w:val="006A65E1"/>
    <w:rsid w:val="006B01D1"/>
    <w:rsid w:val="006B2201"/>
    <w:rsid w:val="006B3CFC"/>
    <w:rsid w:val="006C60BB"/>
    <w:rsid w:val="006E2A4B"/>
    <w:rsid w:val="006F3215"/>
    <w:rsid w:val="006F5952"/>
    <w:rsid w:val="006F7806"/>
    <w:rsid w:val="007054E5"/>
    <w:rsid w:val="0070587E"/>
    <w:rsid w:val="00713553"/>
    <w:rsid w:val="00713FC5"/>
    <w:rsid w:val="00716580"/>
    <w:rsid w:val="00717A4E"/>
    <w:rsid w:val="00720A2D"/>
    <w:rsid w:val="00732A55"/>
    <w:rsid w:val="0073414F"/>
    <w:rsid w:val="0073617A"/>
    <w:rsid w:val="007406D4"/>
    <w:rsid w:val="0074286A"/>
    <w:rsid w:val="00743DBF"/>
    <w:rsid w:val="00753BBE"/>
    <w:rsid w:val="00756905"/>
    <w:rsid w:val="00760343"/>
    <w:rsid w:val="00775F9F"/>
    <w:rsid w:val="00776ACE"/>
    <w:rsid w:val="00777286"/>
    <w:rsid w:val="00780329"/>
    <w:rsid w:val="007823C3"/>
    <w:rsid w:val="00797997"/>
    <w:rsid w:val="007A058C"/>
    <w:rsid w:val="007A601C"/>
    <w:rsid w:val="007A799A"/>
    <w:rsid w:val="007B122C"/>
    <w:rsid w:val="007B43C1"/>
    <w:rsid w:val="007C3A64"/>
    <w:rsid w:val="007D0780"/>
    <w:rsid w:val="007F2DDB"/>
    <w:rsid w:val="007F5963"/>
    <w:rsid w:val="007F6091"/>
    <w:rsid w:val="008013B0"/>
    <w:rsid w:val="00803E21"/>
    <w:rsid w:val="00820428"/>
    <w:rsid w:val="00821491"/>
    <w:rsid w:val="00821CF5"/>
    <w:rsid w:val="0082284C"/>
    <w:rsid w:val="00822F5B"/>
    <w:rsid w:val="00833DB2"/>
    <w:rsid w:val="0083640A"/>
    <w:rsid w:val="008423B5"/>
    <w:rsid w:val="008457EA"/>
    <w:rsid w:val="00851601"/>
    <w:rsid w:val="008523A6"/>
    <w:rsid w:val="00854A47"/>
    <w:rsid w:val="00854C0A"/>
    <w:rsid w:val="0086134A"/>
    <w:rsid w:val="00862683"/>
    <w:rsid w:val="00871B57"/>
    <w:rsid w:val="00873993"/>
    <w:rsid w:val="00883785"/>
    <w:rsid w:val="00886B81"/>
    <w:rsid w:val="008878F7"/>
    <w:rsid w:val="008971B5"/>
    <w:rsid w:val="008A1DF2"/>
    <w:rsid w:val="008B3454"/>
    <w:rsid w:val="008B60B8"/>
    <w:rsid w:val="008C2470"/>
    <w:rsid w:val="008D5D0F"/>
    <w:rsid w:val="008D616F"/>
    <w:rsid w:val="008E4CE6"/>
    <w:rsid w:val="008E5994"/>
    <w:rsid w:val="008F2DD2"/>
    <w:rsid w:val="008F63EE"/>
    <w:rsid w:val="008F76E5"/>
    <w:rsid w:val="00913CB1"/>
    <w:rsid w:val="009177F6"/>
    <w:rsid w:val="00917914"/>
    <w:rsid w:val="0094184F"/>
    <w:rsid w:val="00950E22"/>
    <w:rsid w:val="009635BA"/>
    <w:rsid w:val="00964590"/>
    <w:rsid w:val="00977555"/>
    <w:rsid w:val="00980D90"/>
    <w:rsid w:val="009906E2"/>
    <w:rsid w:val="009908EA"/>
    <w:rsid w:val="00990C43"/>
    <w:rsid w:val="009952CF"/>
    <w:rsid w:val="009A418E"/>
    <w:rsid w:val="009C1758"/>
    <w:rsid w:val="009D39AF"/>
    <w:rsid w:val="009D3FCD"/>
    <w:rsid w:val="009E5F93"/>
    <w:rsid w:val="009E7926"/>
    <w:rsid w:val="009F5912"/>
    <w:rsid w:val="00A14913"/>
    <w:rsid w:val="00A14E35"/>
    <w:rsid w:val="00A15A94"/>
    <w:rsid w:val="00A15B30"/>
    <w:rsid w:val="00A20C17"/>
    <w:rsid w:val="00A30605"/>
    <w:rsid w:val="00A333D1"/>
    <w:rsid w:val="00A34E7A"/>
    <w:rsid w:val="00A37641"/>
    <w:rsid w:val="00A418A2"/>
    <w:rsid w:val="00A46127"/>
    <w:rsid w:val="00A510A2"/>
    <w:rsid w:val="00A52DAD"/>
    <w:rsid w:val="00A64BC2"/>
    <w:rsid w:val="00A705AA"/>
    <w:rsid w:val="00A8212B"/>
    <w:rsid w:val="00A83F57"/>
    <w:rsid w:val="00A90DA4"/>
    <w:rsid w:val="00AA0D37"/>
    <w:rsid w:val="00AA1309"/>
    <w:rsid w:val="00AA6A49"/>
    <w:rsid w:val="00AA7585"/>
    <w:rsid w:val="00AC05B4"/>
    <w:rsid w:val="00AD063B"/>
    <w:rsid w:val="00AD2835"/>
    <w:rsid w:val="00AD5445"/>
    <w:rsid w:val="00AE0514"/>
    <w:rsid w:val="00AE3E8F"/>
    <w:rsid w:val="00AE6CCA"/>
    <w:rsid w:val="00AF442E"/>
    <w:rsid w:val="00B00F65"/>
    <w:rsid w:val="00B170EA"/>
    <w:rsid w:val="00B20114"/>
    <w:rsid w:val="00B20825"/>
    <w:rsid w:val="00B26195"/>
    <w:rsid w:val="00B33208"/>
    <w:rsid w:val="00B35C7F"/>
    <w:rsid w:val="00B3764A"/>
    <w:rsid w:val="00B43F76"/>
    <w:rsid w:val="00B4405D"/>
    <w:rsid w:val="00B45FC5"/>
    <w:rsid w:val="00B56F15"/>
    <w:rsid w:val="00B572EC"/>
    <w:rsid w:val="00B645CC"/>
    <w:rsid w:val="00B73E94"/>
    <w:rsid w:val="00B833D2"/>
    <w:rsid w:val="00B83B46"/>
    <w:rsid w:val="00B842D1"/>
    <w:rsid w:val="00B85A4E"/>
    <w:rsid w:val="00B90672"/>
    <w:rsid w:val="00B931CB"/>
    <w:rsid w:val="00BA74CD"/>
    <w:rsid w:val="00BB015B"/>
    <w:rsid w:val="00BB1D34"/>
    <w:rsid w:val="00BB348B"/>
    <w:rsid w:val="00BD4392"/>
    <w:rsid w:val="00BD5C02"/>
    <w:rsid w:val="00BF1E00"/>
    <w:rsid w:val="00C02E74"/>
    <w:rsid w:val="00C06A8A"/>
    <w:rsid w:val="00C1073A"/>
    <w:rsid w:val="00C135E3"/>
    <w:rsid w:val="00C13C82"/>
    <w:rsid w:val="00C315DF"/>
    <w:rsid w:val="00C34E10"/>
    <w:rsid w:val="00C3620D"/>
    <w:rsid w:val="00C367D2"/>
    <w:rsid w:val="00C4022D"/>
    <w:rsid w:val="00C4227B"/>
    <w:rsid w:val="00C43E57"/>
    <w:rsid w:val="00C661A1"/>
    <w:rsid w:val="00C66E7D"/>
    <w:rsid w:val="00C677CB"/>
    <w:rsid w:val="00C67F06"/>
    <w:rsid w:val="00C70036"/>
    <w:rsid w:val="00C77BD6"/>
    <w:rsid w:val="00C815B1"/>
    <w:rsid w:val="00C83E9C"/>
    <w:rsid w:val="00C849CA"/>
    <w:rsid w:val="00C92A3A"/>
    <w:rsid w:val="00C958BE"/>
    <w:rsid w:val="00C959BF"/>
    <w:rsid w:val="00CA03FD"/>
    <w:rsid w:val="00CA31B1"/>
    <w:rsid w:val="00CB0279"/>
    <w:rsid w:val="00CB6642"/>
    <w:rsid w:val="00CC0EF2"/>
    <w:rsid w:val="00CC5171"/>
    <w:rsid w:val="00CD1507"/>
    <w:rsid w:val="00CD30A4"/>
    <w:rsid w:val="00CD5C47"/>
    <w:rsid w:val="00CD69A3"/>
    <w:rsid w:val="00CE23AA"/>
    <w:rsid w:val="00CF44CB"/>
    <w:rsid w:val="00CF682B"/>
    <w:rsid w:val="00D04098"/>
    <w:rsid w:val="00D227FF"/>
    <w:rsid w:val="00D24910"/>
    <w:rsid w:val="00D274EB"/>
    <w:rsid w:val="00D35598"/>
    <w:rsid w:val="00D4047A"/>
    <w:rsid w:val="00D445BA"/>
    <w:rsid w:val="00D5207E"/>
    <w:rsid w:val="00D531FB"/>
    <w:rsid w:val="00D5329C"/>
    <w:rsid w:val="00D57F1F"/>
    <w:rsid w:val="00D71BE8"/>
    <w:rsid w:val="00D744CD"/>
    <w:rsid w:val="00D75849"/>
    <w:rsid w:val="00D86F05"/>
    <w:rsid w:val="00D96563"/>
    <w:rsid w:val="00DA4774"/>
    <w:rsid w:val="00DB6E70"/>
    <w:rsid w:val="00DB7104"/>
    <w:rsid w:val="00DC24C7"/>
    <w:rsid w:val="00DC5112"/>
    <w:rsid w:val="00DC573F"/>
    <w:rsid w:val="00DC60DE"/>
    <w:rsid w:val="00DD27D7"/>
    <w:rsid w:val="00DD3EC2"/>
    <w:rsid w:val="00DD5F1C"/>
    <w:rsid w:val="00DE197D"/>
    <w:rsid w:val="00DE2F32"/>
    <w:rsid w:val="00DF61FC"/>
    <w:rsid w:val="00E02830"/>
    <w:rsid w:val="00E04F1E"/>
    <w:rsid w:val="00E10D16"/>
    <w:rsid w:val="00E1173D"/>
    <w:rsid w:val="00E14DA8"/>
    <w:rsid w:val="00E16183"/>
    <w:rsid w:val="00E20C0C"/>
    <w:rsid w:val="00E33329"/>
    <w:rsid w:val="00E40285"/>
    <w:rsid w:val="00E444EF"/>
    <w:rsid w:val="00E44F7F"/>
    <w:rsid w:val="00E46433"/>
    <w:rsid w:val="00E5685C"/>
    <w:rsid w:val="00E60A94"/>
    <w:rsid w:val="00E61D96"/>
    <w:rsid w:val="00E63E58"/>
    <w:rsid w:val="00E64871"/>
    <w:rsid w:val="00E71004"/>
    <w:rsid w:val="00E92360"/>
    <w:rsid w:val="00EB07D9"/>
    <w:rsid w:val="00EB5CA6"/>
    <w:rsid w:val="00EB65DE"/>
    <w:rsid w:val="00EB7B5C"/>
    <w:rsid w:val="00EC0CCD"/>
    <w:rsid w:val="00ED22B3"/>
    <w:rsid w:val="00ED6345"/>
    <w:rsid w:val="00ED6DAF"/>
    <w:rsid w:val="00EE4D2F"/>
    <w:rsid w:val="00EF16CD"/>
    <w:rsid w:val="00EF4D06"/>
    <w:rsid w:val="00EF7844"/>
    <w:rsid w:val="00EF7A5A"/>
    <w:rsid w:val="00F06C50"/>
    <w:rsid w:val="00F22E58"/>
    <w:rsid w:val="00F2494A"/>
    <w:rsid w:val="00F3023F"/>
    <w:rsid w:val="00F34B0E"/>
    <w:rsid w:val="00F41790"/>
    <w:rsid w:val="00F45646"/>
    <w:rsid w:val="00F4611B"/>
    <w:rsid w:val="00F527AB"/>
    <w:rsid w:val="00F53882"/>
    <w:rsid w:val="00F5483A"/>
    <w:rsid w:val="00F575E7"/>
    <w:rsid w:val="00F6099E"/>
    <w:rsid w:val="00F673DA"/>
    <w:rsid w:val="00F776F2"/>
    <w:rsid w:val="00F81EA8"/>
    <w:rsid w:val="00F93750"/>
    <w:rsid w:val="00F94B10"/>
    <w:rsid w:val="00F969C9"/>
    <w:rsid w:val="00FA2354"/>
    <w:rsid w:val="00FA3D8B"/>
    <w:rsid w:val="00FA5BFC"/>
    <w:rsid w:val="00FB2BE2"/>
    <w:rsid w:val="00FB448A"/>
    <w:rsid w:val="00FB4AD3"/>
    <w:rsid w:val="00FB4F71"/>
    <w:rsid w:val="00FC3075"/>
    <w:rsid w:val="00FD0B2A"/>
    <w:rsid w:val="00FD6344"/>
    <w:rsid w:val="00FE1648"/>
    <w:rsid w:val="00FF12DC"/>
    <w:rsid w:val="00FF7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5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0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2B"/>
    <w:pPr>
      <w:ind w:left="720"/>
      <w:contextualSpacing/>
    </w:pPr>
  </w:style>
  <w:style w:type="paragraph" w:styleId="Footer">
    <w:name w:val="footer"/>
    <w:basedOn w:val="Normal"/>
    <w:link w:val="FooterChar"/>
    <w:uiPriority w:val="99"/>
    <w:semiHidden/>
    <w:unhideWhenUsed/>
    <w:rsid w:val="00A14913"/>
    <w:pPr>
      <w:tabs>
        <w:tab w:val="center" w:pos="4252"/>
        <w:tab w:val="right" w:pos="8504"/>
      </w:tabs>
    </w:pPr>
  </w:style>
  <w:style w:type="character" w:customStyle="1" w:styleId="FooterChar">
    <w:name w:val="Footer Char"/>
    <w:basedOn w:val="DefaultParagraphFont"/>
    <w:link w:val="Footer"/>
    <w:uiPriority w:val="99"/>
    <w:semiHidden/>
    <w:rsid w:val="00A14913"/>
    <w:rPr>
      <w:rFonts w:ascii="Times New Roman" w:eastAsia="Times New Roman" w:hAnsi="Times New Roman" w:cs="Times New Roman"/>
      <w:sz w:val="24"/>
      <w:szCs w:val="24"/>
    </w:rPr>
  </w:style>
  <w:style w:type="character" w:styleId="FootnoteReference">
    <w:name w:val="footnote reference"/>
    <w:basedOn w:val="DefaultParagraphFont"/>
    <w:rsid w:val="00A14913"/>
    <w:rPr>
      <w:vertAlign w:val="superscript"/>
    </w:rPr>
  </w:style>
  <w:style w:type="paragraph" w:styleId="Header">
    <w:name w:val="header"/>
    <w:basedOn w:val="Normal"/>
    <w:link w:val="HeaderChar"/>
    <w:uiPriority w:val="99"/>
    <w:unhideWhenUsed/>
    <w:rsid w:val="00D86F05"/>
    <w:pPr>
      <w:tabs>
        <w:tab w:val="center" w:pos="4252"/>
        <w:tab w:val="right" w:pos="8504"/>
      </w:tabs>
    </w:pPr>
  </w:style>
  <w:style w:type="character" w:customStyle="1" w:styleId="HeaderChar">
    <w:name w:val="Header Char"/>
    <w:basedOn w:val="DefaultParagraphFont"/>
    <w:link w:val="Header"/>
    <w:uiPriority w:val="99"/>
    <w:rsid w:val="00D86F0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F22E58"/>
    <w:rPr>
      <w:rFonts w:ascii="Tahoma" w:hAnsi="Tahoma" w:cs="Tahoma"/>
      <w:sz w:val="16"/>
      <w:szCs w:val="16"/>
    </w:rPr>
  </w:style>
  <w:style w:type="character" w:customStyle="1" w:styleId="BalloonTextChar">
    <w:name w:val="Balloon Text Char"/>
    <w:basedOn w:val="DefaultParagraphFont"/>
    <w:link w:val="BalloonText"/>
    <w:uiPriority w:val="99"/>
    <w:semiHidden/>
    <w:rsid w:val="00F22E58"/>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D75849"/>
    <w:rPr>
      <w:sz w:val="16"/>
      <w:szCs w:val="16"/>
    </w:rPr>
  </w:style>
  <w:style w:type="paragraph" w:styleId="CommentText">
    <w:name w:val="annotation text"/>
    <w:basedOn w:val="Normal"/>
    <w:link w:val="CommentTextChar"/>
    <w:uiPriority w:val="99"/>
    <w:semiHidden/>
    <w:unhideWhenUsed/>
    <w:rsid w:val="00D75849"/>
    <w:rPr>
      <w:sz w:val="20"/>
      <w:szCs w:val="20"/>
    </w:rPr>
  </w:style>
  <w:style w:type="character" w:customStyle="1" w:styleId="CommentTextChar">
    <w:name w:val="Comment Text Char"/>
    <w:basedOn w:val="DefaultParagraphFont"/>
    <w:link w:val="CommentText"/>
    <w:uiPriority w:val="99"/>
    <w:semiHidden/>
    <w:rsid w:val="00D7584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75849"/>
    <w:rPr>
      <w:b/>
      <w:bCs/>
    </w:rPr>
  </w:style>
  <w:style w:type="character" w:customStyle="1" w:styleId="CommentSubjectChar">
    <w:name w:val="Comment Subject Char"/>
    <w:basedOn w:val="CommentTextChar"/>
    <w:link w:val="CommentSubject"/>
    <w:uiPriority w:val="99"/>
    <w:semiHidden/>
    <w:rsid w:val="00D75849"/>
    <w:rPr>
      <w:rFonts w:ascii="Times New Roman" w:eastAsia="Times New Roman" w:hAnsi="Times New Roman"/>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0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2B"/>
    <w:pPr>
      <w:ind w:left="720"/>
      <w:contextualSpacing/>
    </w:pPr>
  </w:style>
  <w:style w:type="paragraph" w:styleId="Footer">
    <w:name w:val="footer"/>
    <w:basedOn w:val="Normal"/>
    <w:link w:val="FooterChar"/>
    <w:uiPriority w:val="99"/>
    <w:semiHidden/>
    <w:unhideWhenUsed/>
    <w:rsid w:val="00A14913"/>
    <w:pPr>
      <w:tabs>
        <w:tab w:val="center" w:pos="4252"/>
        <w:tab w:val="right" w:pos="8504"/>
      </w:tabs>
    </w:pPr>
  </w:style>
  <w:style w:type="character" w:customStyle="1" w:styleId="FooterChar">
    <w:name w:val="Footer Char"/>
    <w:basedOn w:val="DefaultParagraphFont"/>
    <w:link w:val="Footer"/>
    <w:uiPriority w:val="99"/>
    <w:semiHidden/>
    <w:rsid w:val="00A14913"/>
    <w:rPr>
      <w:rFonts w:ascii="Times New Roman" w:eastAsia="Times New Roman" w:hAnsi="Times New Roman" w:cs="Times New Roman"/>
      <w:sz w:val="24"/>
      <w:szCs w:val="24"/>
    </w:rPr>
  </w:style>
  <w:style w:type="character" w:styleId="FootnoteReference">
    <w:name w:val="footnote reference"/>
    <w:basedOn w:val="DefaultParagraphFont"/>
    <w:rsid w:val="00A14913"/>
    <w:rPr>
      <w:vertAlign w:val="superscript"/>
    </w:rPr>
  </w:style>
  <w:style w:type="paragraph" w:styleId="Header">
    <w:name w:val="header"/>
    <w:basedOn w:val="Normal"/>
    <w:link w:val="HeaderChar"/>
    <w:uiPriority w:val="99"/>
    <w:unhideWhenUsed/>
    <w:rsid w:val="00D86F05"/>
    <w:pPr>
      <w:tabs>
        <w:tab w:val="center" w:pos="4252"/>
        <w:tab w:val="right" w:pos="8504"/>
      </w:tabs>
    </w:pPr>
  </w:style>
  <w:style w:type="character" w:customStyle="1" w:styleId="HeaderChar">
    <w:name w:val="Header Char"/>
    <w:basedOn w:val="DefaultParagraphFont"/>
    <w:link w:val="Header"/>
    <w:uiPriority w:val="99"/>
    <w:rsid w:val="00D86F0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F22E58"/>
    <w:rPr>
      <w:rFonts w:ascii="Tahoma" w:hAnsi="Tahoma" w:cs="Tahoma"/>
      <w:sz w:val="16"/>
      <w:szCs w:val="16"/>
    </w:rPr>
  </w:style>
  <w:style w:type="character" w:customStyle="1" w:styleId="BalloonTextChar">
    <w:name w:val="Balloon Text Char"/>
    <w:basedOn w:val="DefaultParagraphFont"/>
    <w:link w:val="BalloonText"/>
    <w:uiPriority w:val="99"/>
    <w:semiHidden/>
    <w:rsid w:val="00F22E58"/>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D75849"/>
    <w:rPr>
      <w:sz w:val="16"/>
      <w:szCs w:val="16"/>
    </w:rPr>
  </w:style>
  <w:style w:type="paragraph" w:styleId="CommentText">
    <w:name w:val="annotation text"/>
    <w:basedOn w:val="Normal"/>
    <w:link w:val="CommentTextChar"/>
    <w:uiPriority w:val="99"/>
    <w:semiHidden/>
    <w:unhideWhenUsed/>
    <w:rsid w:val="00D75849"/>
    <w:rPr>
      <w:sz w:val="20"/>
      <w:szCs w:val="20"/>
    </w:rPr>
  </w:style>
  <w:style w:type="character" w:customStyle="1" w:styleId="CommentTextChar">
    <w:name w:val="Comment Text Char"/>
    <w:basedOn w:val="DefaultParagraphFont"/>
    <w:link w:val="CommentText"/>
    <w:uiPriority w:val="99"/>
    <w:semiHidden/>
    <w:rsid w:val="00D7584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75849"/>
    <w:rPr>
      <w:b/>
      <w:bCs/>
    </w:rPr>
  </w:style>
  <w:style w:type="character" w:customStyle="1" w:styleId="CommentSubjectChar">
    <w:name w:val="Comment Subject Char"/>
    <w:basedOn w:val="CommentTextChar"/>
    <w:link w:val="CommentSubject"/>
    <w:uiPriority w:val="99"/>
    <w:semiHidden/>
    <w:rsid w:val="00D75849"/>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580">
      <w:bodyDiv w:val="1"/>
      <w:marLeft w:val="0"/>
      <w:marRight w:val="0"/>
      <w:marTop w:val="0"/>
      <w:marBottom w:val="0"/>
      <w:divBdr>
        <w:top w:val="none" w:sz="0" w:space="0" w:color="auto"/>
        <w:left w:val="none" w:sz="0" w:space="0" w:color="auto"/>
        <w:bottom w:val="none" w:sz="0" w:space="0" w:color="auto"/>
        <w:right w:val="none" w:sz="0" w:space="0" w:color="auto"/>
      </w:divBdr>
    </w:div>
    <w:div w:id="88814251">
      <w:bodyDiv w:val="1"/>
      <w:marLeft w:val="0"/>
      <w:marRight w:val="0"/>
      <w:marTop w:val="0"/>
      <w:marBottom w:val="0"/>
      <w:divBdr>
        <w:top w:val="none" w:sz="0" w:space="0" w:color="auto"/>
        <w:left w:val="none" w:sz="0" w:space="0" w:color="auto"/>
        <w:bottom w:val="none" w:sz="0" w:space="0" w:color="auto"/>
        <w:right w:val="none" w:sz="0" w:space="0" w:color="auto"/>
      </w:divBdr>
    </w:div>
    <w:div w:id="220791869">
      <w:bodyDiv w:val="1"/>
      <w:marLeft w:val="0"/>
      <w:marRight w:val="0"/>
      <w:marTop w:val="0"/>
      <w:marBottom w:val="0"/>
      <w:divBdr>
        <w:top w:val="none" w:sz="0" w:space="0" w:color="auto"/>
        <w:left w:val="none" w:sz="0" w:space="0" w:color="auto"/>
        <w:bottom w:val="none" w:sz="0" w:space="0" w:color="auto"/>
        <w:right w:val="none" w:sz="0" w:space="0" w:color="auto"/>
      </w:divBdr>
    </w:div>
    <w:div w:id="464813155">
      <w:bodyDiv w:val="1"/>
      <w:marLeft w:val="0"/>
      <w:marRight w:val="0"/>
      <w:marTop w:val="0"/>
      <w:marBottom w:val="0"/>
      <w:divBdr>
        <w:top w:val="none" w:sz="0" w:space="0" w:color="auto"/>
        <w:left w:val="none" w:sz="0" w:space="0" w:color="auto"/>
        <w:bottom w:val="none" w:sz="0" w:space="0" w:color="auto"/>
        <w:right w:val="none" w:sz="0" w:space="0" w:color="auto"/>
      </w:divBdr>
    </w:div>
    <w:div w:id="515510194">
      <w:bodyDiv w:val="1"/>
      <w:marLeft w:val="0"/>
      <w:marRight w:val="0"/>
      <w:marTop w:val="0"/>
      <w:marBottom w:val="0"/>
      <w:divBdr>
        <w:top w:val="none" w:sz="0" w:space="0" w:color="auto"/>
        <w:left w:val="none" w:sz="0" w:space="0" w:color="auto"/>
        <w:bottom w:val="none" w:sz="0" w:space="0" w:color="auto"/>
        <w:right w:val="none" w:sz="0" w:space="0" w:color="auto"/>
      </w:divBdr>
    </w:div>
    <w:div w:id="536746210">
      <w:bodyDiv w:val="1"/>
      <w:marLeft w:val="0"/>
      <w:marRight w:val="0"/>
      <w:marTop w:val="0"/>
      <w:marBottom w:val="0"/>
      <w:divBdr>
        <w:top w:val="none" w:sz="0" w:space="0" w:color="auto"/>
        <w:left w:val="none" w:sz="0" w:space="0" w:color="auto"/>
        <w:bottom w:val="none" w:sz="0" w:space="0" w:color="auto"/>
        <w:right w:val="none" w:sz="0" w:space="0" w:color="auto"/>
      </w:divBdr>
    </w:div>
    <w:div w:id="576787864">
      <w:bodyDiv w:val="1"/>
      <w:marLeft w:val="0"/>
      <w:marRight w:val="0"/>
      <w:marTop w:val="0"/>
      <w:marBottom w:val="0"/>
      <w:divBdr>
        <w:top w:val="none" w:sz="0" w:space="0" w:color="auto"/>
        <w:left w:val="none" w:sz="0" w:space="0" w:color="auto"/>
        <w:bottom w:val="none" w:sz="0" w:space="0" w:color="auto"/>
        <w:right w:val="none" w:sz="0" w:space="0" w:color="auto"/>
      </w:divBdr>
    </w:div>
    <w:div w:id="664354948">
      <w:bodyDiv w:val="1"/>
      <w:marLeft w:val="0"/>
      <w:marRight w:val="0"/>
      <w:marTop w:val="0"/>
      <w:marBottom w:val="0"/>
      <w:divBdr>
        <w:top w:val="none" w:sz="0" w:space="0" w:color="auto"/>
        <w:left w:val="none" w:sz="0" w:space="0" w:color="auto"/>
        <w:bottom w:val="none" w:sz="0" w:space="0" w:color="auto"/>
        <w:right w:val="none" w:sz="0" w:space="0" w:color="auto"/>
      </w:divBdr>
    </w:div>
    <w:div w:id="723480079">
      <w:bodyDiv w:val="1"/>
      <w:marLeft w:val="0"/>
      <w:marRight w:val="0"/>
      <w:marTop w:val="0"/>
      <w:marBottom w:val="0"/>
      <w:divBdr>
        <w:top w:val="none" w:sz="0" w:space="0" w:color="auto"/>
        <w:left w:val="none" w:sz="0" w:space="0" w:color="auto"/>
        <w:bottom w:val="none" w:sz="0" w:space="0" w:color="auto"/>
        <w:right w:val="none" w:sz="0" w:space="0" w:color="auto"/>
      </w:divBdr>
    </w:div>
    <w:div w:id="731775919">
      <w:bodyDiv w:val="1"/>
      <w:marLeft w:val="0"/>
      <w:marRight w:val="0"/>
      <w:marTop w:val="0"/>
      <w:marBottom w:val="0"/>
      <w:divBdr>
        <w:top w:val="none" w:sz="0" w:space="0" w:color="auto"/>
        <w:left w:val="none" w:sz="0" w:space="0" w:color="auto"/>
        <w:bottom w:val="none" w:sz="0" w:space="0" w:color="auto"/>
        <w:right w:val="none" w:sz="0" w:space="0" w:color="auto"/>
      </w:divBdr>
    </w:div>
    <w:div w:id="746074894">
      <w:bodyDiv w:val="1"/>
      <w:marLeft w:val="0"/>
      <w:marRight w:val="0"/>
      <w:marTop w:val="0"/>
      <w:marBottom w:val="0"/>
      <w:divBdr>
        <w:top w:val="none" w:sz="0" w:space="0" w:color="auto"/>
        <w:left w:val="none" w:sz="0" w:space="0" w:color="auto"/>
        <w:bottom w:val="none" w:sz="0" w:space="0" w:color="auto"/>
        <w:right w:val="none" w:sz="0" w:space="0" w:color="auto"/>
      </w:divBdr>
    </w:div>
    <w:div w:id="882255786">
      <w:bodyDiv w:val="1"/>
      <w:marLeft w:val="0"/>
      <w:marRight w:val="0"/>
      <w:marTop w:val="0"/>
      <w:marBottom w:val="0"/>
      <w:divBdr>
        <w:top w:val="none" w:sz="0" w:space="0" w:color="auto"/>
        <w:left w:val="none" w:sz="0" w:space="0" w:color="auto"/>
        <w:bottom w:val="none" w:sz="0" w:space="0" w:color="auto"/>
        <w:right w:val="none" w:sz="0" w:space="0" w:color="auto"/>
      </w:divBdr>
    </w:div>
    <w:div w:id="918369536">
      <w:bodyDiv w:val="1"/>
      <w:marLeft w:val="0"/>
      <w:marRight w:val="0"/>
      <w:marTop w:val="0"/>
      <w:marBottom w:val="0"/>
      <w:divBdr>
        <w:top w:val="none" w:sz="0" w:space="0" w:color="auto"/>
        <w:left w:val="none" w:sz="0" w:space="0" w:color="auto"/>
        <w:bottom w:val="none" w:sz="0" w:space="0" w:color="auto"/>
        <w:right w:val="none" w:sz="0" w:space="0" w:color="auto"/>
      </w:divBdr>
    </w:div>
    <w:div w:id="1075783133">
      <w:bodyDiv w:val="1"/>
      <w:marLeft w:val="0"/>
      <w:marRight w:val="0"/>
      <w:marTop w:val="0"/>
      <w:marBottom w:val="0"/>
      <w:divBdr>
        <w:top w:val="none" w:sz="0" w:space="0" w:color="auto"/>
        <w:left w:val="none" w:sz="0" w:space="0" w:color="auto"/>
        <w:bottom w:val="none" w:sz="0" w:space="0" w:color="auto"/>
        <w:right w:val="none" w:sz="0" w:space="0" w:color="auto"/>
      </w:divBdr>
    </w:div>
    <w:div w:id="1116752736">
      <w:bodyDiv w:val="1"/>
      <w:marLeft w:val="0"/>
      <w:marRight w:val="0"/>
      <w:marTop w:val="0"/>
      <w:marBottom w:val="0"/>
      <w:divBdr>
        <w:top w:val="none" w:sz="0" w:space="0" w:color="auto"/>
        <w:left w:val="none" w:sz="0" w:space="0" w:color="auto"/>
        <w:bottom w:val="none" w:sz="0" w:space="0" w:color="auto"/>
        <w:right w:val="none" w:sz="0" w:space="0" w:color="auto"/>
      </w:divBdr>
    </w:div>
    <w:div w:id="1122385814">
      <w:bodyDiv w:val="1"/>
      <w:marLeft w:val="0"/>
      <w:marRight w:val="0"/>
      <w:marTop w:val="0"/>
      <w:marBottom w:val="0"/>
      <w:divBdr>
        <w:top w:val="none" w:sz="0" w:space="0" w:color="auto"/>
        <w:left w:val="none" w:sz="0" w:space="0" w:color="auto"/>
        <w:bottom w:val="none" w:sz="0" w:space="0" w:color="auto"/>
        <w:right w:val="none" w:sz="0" w:space="0" w:color="auto"/>
      </w:divBdr>
    </w:div>
    <w:div w:id="1144001798">
      <w:bodyDiv w:val="1"/>
      <w:marLeft w:val="0"/>
      <w:marRight w:val="0"/>
      <w:marTop w:val="0"/>
      <w:marBottom w:val="0"/>
      <w:divBdr>
        <w:top w:val="none" w:sz="0" w:space="0" w:color="auto"/>
        <w:left w:val="none" w:sz="0" w:space="0" w:color="auto"/>
        <w:bottom w:val="none" w:sz="0" w:space="0" w:color="auto"/>
        <w:right w:val="none" w:sz="0" w:space="0" w:color="auto"/>
      </w:divBdr>
    </w:div>
    <w:div w:id="1156608349">
      <w:bodyDiv w:val="1"/>
      <w:marLeft w:val="0"/>
      <w:marRight w:val="0"/>
      <w:marTop w:val="0"/>
      <w:marBottom w:val="0"/>
      <w:divBdr>
        <w:top w:val="none" w:sz="0" w:space="0" w:color="auto"/>
        <w:left w:val="none" w:sz="0" w:space="0" w:color="auto"/>
        <w:bottom w:val="none" w:sz="0" w:space="0" w:color="auto"/>
        <w:right w:val="none" w:sz="0" w:space="0" w:color="auto"/>
      </w:divBdr>
    </w:div>
    <w:div w:id="1215043706">
      <w:bodyDiv w:val="1"/>
      <w:marLeft w:val="0"/>
      <w:marRight w:val="0"/>
      <w:marTop w:val="0"/>
      <w:marBottom w:val="0"/>
      <w:divBdr>
        <w:top w:val="none" w:sz="0" w:space="0" w:color="auto"/>
        <w:left w:val="none" w:sz="0" w:space="0" w:color="auto"/>
        <w:bottom w:val="none" w:sz="0" w:space="0" w:color="auto"/>
        <w:right w:val="none" w:sz="0" w:space="0" w:color="auto"/>
      </w:divBdr>
    </w:div>
    <w:div w:id="1279872665">
      <w:bodyDiv w:val="1"/>
      <w:marLeft w:val="0"/>
      <w:marRight w:val="0"/>
      <w:marTop w:val="0"/>
      <w:marBottom w:val="0"/>
      <w:divBdr>
        <w:top w:val="none" w:sz="0" w:space="0" w:color="auto"/>
        <w:left w:val="none" w:sz="0" w:space="0" w:color="auto"/>
        <w:bottom w:val="none" w:sz="0" w:space="0" w:color="auto"/>
        <w:right w:val="none" w:sz="0" w:space="0" w:color="auto"/>
      </w:divBdr>
    </w:div>
    <w:div w:id="1302424577">
      <w:bodyDiv w:val="1"/>
      <w:marLeft w:val="0"/>
      <w:marRight w:val="0"/>
      <w:marTop w:val="0"/>
      <w:marBottom w:val="0"/>
      <w:divBdr>
        <w:top w:val="none" w:sz="0" w:space="0" w:color="auto"/>
        <w:left w:val="none" w:sz="0" w:space="0" w:color="auto"/>
        <w:bottom w:val="none" w:sz="0" w:space="0" w:color="auto"/>
        <w:right w:val="none" w:sz="0" w:space="0" w:color="auto"/>
      </w:divBdr>
    </w:div>
    <w:div w:id="1344626021">
      <w:bodyDiv w:val="1"/>
      <w:marLeft w:val="0"/>
      <w:marRight w:val="0"/>
      <w:marTop w:val="0"/>
      <w:marBottom w:val="0"/>
      <w:divBdr>
        <w:top w:val="none" w:sz="0" w:space="0" w:color="auto"/>
        <w:left w:val="none" w:sz="0" w:space="0" w:color="auto"/>
        <w:bottom w:val="none" w:sz="0" w:space="0" w:color="auto"/>
        <w:right w:val="none" w:sz="0" w:space="0" w:color="auto"/>
      </w:divBdr>
    </w:div>
    <w:div w:id="1448692492">
      <w:bodyDiv w:val="1"/>
      <w:marLeft w:val="0"/>
      <w:marRight w:val="0"/>
      <w:marTop w:val="0"/>
      <w:marBottom w:val="0"/>
      <w:divBdr>
        <w:top w:val="none" w:sz="0" w:space="0" w:color="auto"/>
        <w:left w:val="none" w:sz="0" w:space="0" w:color="auto"/>
        <w:bottom w:val="none" w:sz="0" w:space="0" w:color="auto"/>
        <w:right w:val="none" w:sz="0" w:space="0" w:color="auto"/>
      </w:divBdr>
    </w:div>
    <w:div w:id="1466266452">
      <w:bodyDiv w:val="1"/>
      <w:marLeft w:val="0"/>
      <w:marRight w:val="0"/>
      <w:marTop w:val="0"/>
      <w:marBottom w:val="0"/>
      <w:divBdr>
        <w:top w:val="none" w:sz="0" w:space="0" w:color="auto"/>
        <w:left w:val="none" w:sz="0" w:space="0" w:color="auto"/>
        <w:bottom w:val="none" w:sz="0" w:space="0" w:color="auto"/>
        <w:right w:val="none" w:sz="0" w:space="0" w:color="auto"/>
      </w:divBdr>
    </w:div>
    <w:div w:id="1518883396">
      <w:bodyDiv w:val="1"/>
      <w:marLeft w:val="0"/>
      <w:marRight w:val="0"/>
      <w:marTop w:val="0"/>
      <w:marBottom w:val="0"/>
      <w:divBdr>
        <w:top w:val="none" w:sz="0" w:space="0" w:color="auto"/>
        <w:left w:val="none" w:sz="0" w:space="0" w:color="auto"/>
        <w:bottom w:val="none" w:sz="0" w:space="0" w:color="auto"/>
        <w:right w:val="none" w:sz="0" w:space="0" w:color="auto"/>
      </w:divBdr>
    </w:div>
    <w:div w:id="1519537388">
      <w:bodyDiv w:val="1"/>
      <w:marLeft w:val="0"/>
      <w:marRight w:val="0"/>
      <w:marTop w:val="0"/>
      <w:marBottom w:val="0"/>
      <w:divBdr>
        <w:top w:val="none" w:sz="0" w:space="0" w:color="auto"/>
        <w:left w:val="none" w:sz="0" w:space="0" w:color="auto"/>
        <w:bottom w:val="none" w:sz="0" w:space="0" w:color="auto"/>
        <w:right w:val="none" w:sz="0" w:space="0" w:color="auto"/>
      </w:divBdr>
    </w:div>
    <w:div w:id="1594166004">
      <w:bodyDiv w:val="1"/>
      <w:marLeft w:val="0"/>
      <w:marRight w:val="0"/>
      <w:marTop w:val="0"/>
      <w:marBottom w:val="0"/>
      <w:divBdr>
        <w:top w:val="none" w:sz="0" w:space="0" w:color="auto"/>
        <w:left w:val="none" w:sz="0" w:space="0" w:color="auto"/>
        <w:bottom w:val="none" w:sz="0" w:space="0" w:color="auto"/>
        <w:right w:val="none" w:sz="0" w:space="0" w:color="auto"/>
      </w:divBdr>
    </w:div>
    <w:div w:id="1605114236">
      <w:bodyDiv w:val="1"/>
      <w:marLeft w:val="0"/>
      <w:marRight w:val="0"/>
      <w:marTop w:val="0"/>
      <w:marBottom w:val="0"/>
      <w:divBdr>
        <w:top w:val="none" w:sz="0" w:space="0" w:color="auto"/>
        <w:left w:val="none" w:sz="0" w:space="0" w:color="auto"/>
        <w:bottom w:val="none" w:sz="0" w:space="0" w:color="auto"/>
        <w:right w:val="none" w:sz="0" w:space="0" w:color="auto"/>
      </w:divBdr>
    </w:div>
    <w:div w:id="1685520696">
      <w:bodyDiv w:val="1"/>
      <w:marLeft w:val="0"/>
      <w:marRight w:val="0"/>
      <w:marTop w:val="0"/>
      <w:marBottom w:val="0"/>
      <w:divBdr>
        <w:top w:val="none" w:sz="0" w:space="0" w:color="auto"/>
        <w:left w:val="none" w:sz="0" w:space="0" w:color="auto"/>
        <w:bottom w:val="none" w:sz="0" w:space="0" w:color="auto"/>
        <w:right w:val="none" w:sz="0" w:space="0" w:color="auto"/>
      </w:divBdr>
    </w:div>
    <w:div w:id="1844121057">
      <w:bodyDiv w:val="1"/>
      <w:marLeft w:val="0"/>
      <w:marRight w:val="0"/>
      <w:marTop w:val="0"/>
      <w:marBottom w:val="0"/>
      <w:divBdr>
        <w:top w:val="none" w:sz="0" w:space="0" w:color="auto"/>
        <w:left w:val="none" w:sz="0" w:space="0" w:color="auto"/>
        <w:bottom w:val="none" w:sz="0" w:space="0" w:color="auto"/>
        <w:right w:val="none" w:sz="0" w:space="0" w:color="auto"/>
      </w:divBdr>
    </w:div>
    <w:div w:id="1888225601">
      <w:bodyDiv w:val="1"/>
      <w:marLeft w:val="0"/>
      <w:marRight w:val="0"/>
      <w:marTop w:val="0"/>
      <w:marBottom w:val="0"/>
      <w:divBdr>
        <w:top w:val="none" w:sz="0" w:space="0" w:color="auto"/>
        <w:left w:val="none" w:sz="0" w:space="0" w:color="auto"/>
        <w:bottom w:val="none" w:sz="0" w:space="0" w:color="auto"/>
        <w:right w:val="none" w:sz="0" w:space="0" w:color="auto"/>
      </w:divBdr>
    </w:div>
    <w:div w:id="21094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bt.inpe.br/prod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4059</Words>
  <Characters>23140</Characters>
  <Application>Microsoft Macintosh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(TEXTO 1)</vt:lpstr>
    </vt:vector>
  </TitlesOfParts>
  <Company>ppe</Company>
  <LinksUpToDate>false</LinksUpToDate>
  <CharactersWithSpaces>27145</CharactersWithSpaces>
  <SharedDoc>false</SharedDoc>
  <HLinks>
    <vt:vector size="6" baseType="variant">
      <vt:variant>
        <vt:i4>983116</vt:i4>
      </vt:variant>
      <vt:variant>
        <vt:i4>0</vt:i4>
      </vt:variant>
      <vt:variant>
        <vt:i4>0</vt:i4>
      </vt:variant>
      <vt:variant>
        <vt:i4>5</vt:i4>
      </vt:variant>
      <vt:variant>
        <vt:lpwstr>http://www.obt.inpe.br/prodes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1)</dc:title>
  <dc:subject/>
  <dc:creator>ppe</dc:creator>
  <cp:keywords/>
  <cp:lastModifiedBy>Lenita Verônica Pires Catanoso</cp:lastModifiedBy>
  <cp:revision>3</cp:revision>
  <dcterms:created xsi:type="dcterms:W3CDTF">2012-08-30T22:14:00Z</dcterms:created>
  <dcterms:modified xsi:type="dcterms:W3CDTF">2012-08-30T22:15:00Z</dcterms:modified>
</cp:coreProperties>
</file>